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702023008"/>
        <w:docPartObj>
          <w:docPartGallery w:val="Cover Pages"/>
          <w:docPartUnique/>
        </w:docPartObj>
      </w:sdtPr>
      <w:sdtEndPr>
        <w:rPr>
          <w:sz w:val="2"/>
          <w:szCs w:val="2"/>
        </w:rPr>
      </w:sdtEndPr>
      <w:sdtContent>
        <w:p w14:paraId="08774A6A" w14:textId="2AC1D263" w:rsidR="00BF2878" w:rsidRPr="00BA64B4" w:rsidRDefault="00BF2878" w:rsidP="00B47CAC">
          <w:pPr>
            <w:rPr>
              <w:rFonts w:asciiTheme="minorHAnsi" w:hAnsiTheme="minorHAnsi"/>
            </w:rPr>
          </w:pPr>
          <w:r w:rsidRPr="00BA64B4">
            <w:rPr>
              <w:rFonts w:asciiTheme="minorHAnsi" w:hAnsiTheme="minorHAnsi"/>
              <w:noProof/>
            </w:rPr>
            <mc:AlternateContent>
              <mc:Choice Requires="wpg">
                <w:drawing>
                  <wp:anchor distT="0" distB="0" distL="114300" distR="114300" simplePos="0" relativeHeight="251662336" behindDoc="0" locked="0" layoutInCell="1" allowOverlap="1" wp14:anchorId="2CCE3092" wp14:editId="1FCB054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50E4DF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3" o:title="" recolor="t" rotate="t" type="frame"/>
                    </v:rect>
                    <w10:wrap anchorx="page" anchory="page"/>
                  </v:group>
                </w:pict>
              </mc:Fallback>
            </mc:AlternateContent>
          </w:r>
        </w:p>
        <w:p w14:paraId="323E2DD4" w14:textId="77777777" w:rsidR="00D6470D" w:rsidRDefault="00D6470D" w:rsidP="00D6470D">
          <w:pPr>
            <w:jc w:val="center"/>
            <w:rPr>
              <w:rFonts w:asciiTheme="minorHAnsi" w:hAnsiTheme="minorHAnsi"/>
              <w:sz w:val="56"/>
            </w:rPr>
          </w:pPr>
        </w:p>
        <w:p w14:paraId="1670F276" w14:textId="77777777" w:rsidR="00D6470D" w:rsidRDefault="00D6470D" w:rsidP="00D6470D">
          <w:pPr>
            <w:jc w:val="center"/>
            <w:rPr>
              <w:rFonts w:asciiTheme="minorHAnsi" w:hAnsiTheme="minorHAnsi"/>
              <w:sz w:val="56"/>
            </w:rPr>
          </w:pPr>
        </w:p>
        <w:p w14:paraId="0612678C" w14:textId="77777777" w:rsidR="00D6470D" w:rsidRDefault="00D6470D" w:rsidP="00D6470D">
          <w:pPr>
            <w:jc w:val="center"/>
            <w:rPr>
              <w:rFonts w:asciiTheme="minorHAnsi" w:hAnsiTheme="minorHAnsi"/>
              <w:sz w:val="56"/>
            </w:rPr>
          </w:pPr>
        </w:p>
        <w:p w14:paraId="5FB79911" w14:textId="21780548" w:rsidR="00EA48C5" w:rsidRDefault="00EA48C5" w:rsidP="00D6470D">
          <w:pPr>
            <w:jc w:val="center"/>
            <w:rPr>
              <w:rFonts w:asciiTheme="minorHAnsi" w:hAnsiTheme="minorHAnsi"/>
              <w:sz w:val="56"/>
            </w:rPr>
          </w:pPr>
          <w:r>
            <w:rPr>
              <w:rFonts w:asciiTheme="minorHAnsi" w:hAnsiTheme="minorHAnsi"/>
              <w:sz w:val="56"/>
            </w:rPr>
            <w:t>DRAFT</w:t>
          </w:r>
        </w:p>
        <w:p w14:paraId="5DB69316" w14:textId="77777777" w:rsidR="00D6470D" w:rsidRDefault="00D6470D" w:rsidP="00D6470D">
          <w:pPr>
            <w:jc w:val="center"/>
            <w:rPr>
              <w:rFonts w:asciiTheme="minorHAnsi" w:hAnsiTheme="minorHAnsi"/>
              <w:sz w:val="56"/>
            </w:rPr>
          </w:pPr>
          <w:r>
            <w:rPr>
              <w:rFonts w:asciiTheme="minorHAnsi" w:hAnsiTheme="minorHAnsi"/>
              <w:sz w:val="56"/>
            </w:rPr>
            <w:t>2018</w:t>
          </w:r>
          <w:r w:rsidRPr="00824B15">
            <w:rPr>
              <w:rFonts w:asciiTheme="minorHAnsi" w:hAnsiTheme="minorHAnsi"/>
              <w:sz w:val="56"/>
            </w:rPr>
            <w:t xml:space="preserve"> ACA-Compliant</w:t>
          </w:r>
        </w:p>
        <w:p w14:paraId="40359CA5" w14:textId="0B1B0EB3" w:rsidR="00D6470D" w:rsidRDefault="00D6470D" w:rsidP="00D6470D">
          <w:pPr>
            <w:jc w:val="center"/>
            <w:rPr>
              <w:rFonts w:asciiTheme="minorHAnsi" w:hAnsiTheme="minorHAnsi"/>
              <w:sz w:val="56"/>
            </w:rPr>
          </w:pPr>
          <w:r w:rsidRPr="00824B15">
            <w:rPr>
              <w:rFonts w:asciiTheme="minorHAnsi" w:hAnsiTheme="minorHAnsi"/>
              <w:sz w:val="56"/>
            </w:rPr>
            <w:t xml:space="preserve">Health </w:t>
          </w:r>
          <w:r>
            <w:rPr>
              <w:rFonts w:asciiTheme="minorHAnsi" w:hAnsiTheme="minorHAnsi"/>
              <w:sz w:val="56"/>
            </w:rPr>
            <w:t xml:space="preserve">Insurance </w:t>
          </w:r>
          <w:r w:rsidRPr="00824B15">
            <w:rPr>
              <w:rFonts w:asciiTheme="minorHAnsi" w:hAnsiTheme="minorHAnsi"/>
              <w:sz w:val="56"/>
            </w:rPr>
            <w:t xml:space="preserve">Rate Filing </w:t>
          </w:r>
          <w:r>
            <w:rPr>
              <w:rFonts w:asciiTheme="minorHAnsi" w:hAnsiTheme="minorHAnsi"/>
              <w:sz w:val="56"/>
            </w:rPr>
            <w:t>Guidance</w:t>
          </w:r>
        </w:p>
        <w:p w14:paraId="31362AB0" w14:textId="77777777" w:rsidR="00D6470D" w:rsidRDefault="00D6470D" w:rsidP="00D6470D">
          <w:pPr>
            <w:jc w:val="center"/>
            <w:rPr>
              <w:rFonts w:asciiTheme="minorHAnsi" w:hAnsiTheme="minorHAnsi"/>
            </w:rPr>
          </w:pPr>
        </w:p>
        <w:p w14:paraId="18FA563E" w14:textId="77777777" w:rsidR="00D6470D" w:rsidRDefault="00D6470D" w:rsidP="00D6470D">
          <w:pPr>
            <w:jc w:val="center"/>
            <w:rPr>
              <w:rFonts w:asciiTheme="minorHAnsi" w:hAnsiTheme="minorHAnsi"/>
              <w:sz w:val="56"/>
            </w:rPr>
          </w:pPr>
        </w:p>
        <w:p w14:paraId="63C734C4" w14:textId="77777777" w:rsidR="00D6470D" w:rsidRPr="0001556B" w:rsidRDefault="00D6470D" w:rsidP="00D6470D">
          <w:pPr>
            <w:jc w:val="center"/>
            <w:rPr>
              <w:rFonts w:asciiTheme="minorHAnsi" w:hAnsiTheme="minorHAnsi"/>
              <w:b/>
              <w:sz w:val="56"/>
            </w:rPr>
          </w:pPr>
        </w:p>
        <w:p w14:paraId="6C402056" w14:textId="12CB4F8C" w:rsidR="00D6470D" w:rsidRDefault="00D6470D" w:rsidP="00D6470D">
          <w:pPr>
            <w:jc w:val="center"/>
            <w:rPr>
              <w:rFonts w:asciiTheme="minorHAnsi" w:hAnsiTheme="minorHAnsi"/>
              <w:sz w:val="44"/>
            </w:rPr>
          </w:pPr>
          <w:r w:rsidRPr="00824B15">
            <w:rPr>
              <w:rFonts w:asciiTheme="minorHAnsi" w:hAnsiTheme="minorHAnsi"/>
              <w:sz w:val="44"/>
            </w:rPr>
            <w:t>Pennsylvania Insurance Department</w:t>
          </w:r>
        </w:p>
        <w:p w14:paraId="73257AFA" w14:textId="77777777" w:rsidR="00D6470D" w:rsidRDefault="00D6470D" w:rsidP="00D6470D">
          <w:pPr>
            <w:jc w:val="center"/>
            <w:rPr>
              <w:rFonts w:asciiTheme="minorHAnsi" w:hAnsiTheme="minorHAnsi"/>
              <w:sz w:val="28"/>
            </w:rPr>
          </w:pPr>
          <w:r>
            <w:rPr>
              <w:rFonts w:asciiTheme="minorHAnsi" w:hAnsiTheme="minorHAnsi"/>
              <w:sz w:val="28"/>
            </w:rPr>
            <w:t>February 8, 2017</w:t>
          </w:r>
        </w:p>
        <w:p w14:paraId="3F8388D2" w14:textId="77777777" w:rsidR="00D6470D" w:rsidRDefault="00D6470D" w:rsidP="00D6470D">
          <w:pPr>
            <w:jc w:val="center"/>
            <w:rPr>
              <w:rFonts w:asciiTheme="minorHAnsi" w:hAnsiTheme="minorHAnsi"/>
              <w:sz w:val="28"/>
            </w:rPr>
          </w:pPr>
        </w:p>
        <w:p w14:paraId="0BA66F38" w14:textId="77777777" w:rsidR="007450AE" w:rsidRDefault="00D6470D" w:rsidP="00D6470D">
          <w:pPr>
            <w:jc w:val="center"/>
            <w:rPr>
              <w:rFonts w:asciiTheme="minorHAnsi" w:hAnsiTheme="minorHAnsi"/>
            </w:rPr>
          </w:pPr>
          <w:r w:rsidRPr="00824B15">
            <w:rPr>
              <w:rFonts w:asciiTheme="minorHAnsi" w:hAnsiTheme="minorHAnsi"/>
            </w:rPr>
            <w:t>T</w:t>
          </w:r>
          <w:r>
            <w:rPr>
              <w:rFonts w:asciiTheme="minorHAnsi" w:hAnsiTheme="minorHAnsi"/>
            </w:rPr>
            <w:t xml:space="preserve">his </w:t>
          </w:r>
          <w:r w:rsidRPr="00824B15">
            <w:rPr>
              <w:rFonts w:asciiTheme="minorHAnsi" w:hAnsiTheme="minorHAnsi"/>
            </w:rPr>
            <w:t xml:space="preserve">document is subject to change based on </w:t>
          </w:r>
          <w:r w:rsidR="007450AE">
            <w:rPr>
              <w:rFonts w:asciiTheme="minorHAnsi" w:hAnsiTheme="minorHAnsi"/>
            </w:rPr>
            <w:t xml:space="preserve">comments received and the </w:t>
          </w:r>
        </w:p>
        <w:p w14:paraId="0C3A3CAB" w14:textId="0B0563B3" w:rsidR="00D6470D" w:rsidRDefault="00D6470D" w:rsidP="00D6470D">
          <w:pPr>
            <w:jc w:val="center"/>
            <w:sectPr w:rsidR="00D6470D" w:rsidSect="00C63B62">
              <w:footerReference w:type="even" r:id="rId14"/>
              <w:footerReference w:type="default" r:id="rId15"/>
              <w:headerReference w:type="first" r:id="rId16"/>
              <w:type w:val="continuous"/>
              <w:pgSz w:w="12240" w:h="15840"/>
              <w:pgMar w:top="1440" w:right="1080" w:bottom="1440" w:left="1080" w:header="720" w:footer="720" w:gutter="0"/>
              <w:pgNumType w:start="0"/>
              <w:cols w:space="720"/>
              <w:titlePg/>
              <w:docGrid w:linePitch="326"/>
            </w:sectPr>
          </w:pPr>
          <w:r w:rsidRPr="00824B15">
            <w:rPr>
              <w:rFonts w:asciiTheme="minorHAnsi" w:hAnsiTheme="minorHAnsi"/>
            </w:rPr>
            <w:t>release of final federal guidance for the 201</w:t>
          </w:r>
          <w:r>
            <w:rPr>
              <w:rFonts w:asciiTheme="minorHAnsi" w:hAnsiTheme="minorHAnsi"/>
            </w:rPr>
            <w:t>8</w:t>
          </w:r>
          <w:r w:rsidRPr="00824B15">
            <w:rPr>
              <w:rFonts w:asciiTheme="minorHAnsi" w:hAnsiTheme="minorHAnsi"/>
            </w:rPr>
            <w:t xml:space="preserve"> plan year</w:t>
          </w:r>
          <w:r>
            <w:rPr>
              <w:rFonts w:asciiTheme="minorHAnsi" w:hAnsiTheme="minorHAnsi"/>
            </w:rPr>
            <w:t>.</w:t>
          </w:r>
        </w:p>
        <w:p w14:paraId="7FEBACD9" w14:textId="104D9AD9" w:rsidR="00D6470D" w:rsidRPr="00271157" w:rsidRDefault="00064A7B" w:rsidP="00D6470D">
          <w:pPr>
            <w:rPr>
              <w:sz w:val="2"/>
              <w:szCs w:val="2"/>
            </w:rPr>
          </w:pPr>
        </w:p>
      </w:sdtContent>
    </w:sdt>
    <w:bookmarkStart w:id="0" w:name="_Toc440555389" w:displacedByCustomXml="next"/>
    <w:bookmarkStart w:id="1" w:name="_Toc440553947" w:displacedByCustomXml="next"/>
    <w:bookmarkStart w:id="2" w:name="_Toc440553139" w:displacedByCustomXml="next"/>
    <w:sdt>
      <w:sdtPr>
        <w:rPr>
          <w:rFonts w:ascii="Times New Roman" w:eastAsia="Times New Roman" w:hAnsi="Times New Roman" w:cs="Times New Roman"/>
          <w:b w:val="0"/>
          <w:bCs w:val="0"/>
          <w:color w:val="auto"/>
          <w:sz w:val="24"/>
          <w:szCs w:val="24"/>
          <w:lang w:eastAsia="en-US"/>
        </w:rPr>
        <w:id w:val="-1626613354"/>
        <w:docPartObj>
          <w:docPartGallery w:val="Table of Contents"/>
          <w:docPartUnique/>
        </w:docPartObj>
      </w:sdtPr>
      <w:sdtEndPr>
        <w:rPr>
          <w:noProof/>
          <w:sz w:val="22"/>
        </w:rPr>
      </w:sdtEndPr>
      <w:sdtContent>
        <w:p w14:paraId="62DF912D" w14:textId="77777777" w:rsidR="0081012D" w:rsidRPr="00BA64B4" w:rsidRDefault="0081012D" w:rsidP="00D6470D">
          <w:pPr>
            <w:pStyle w:val="TOCHeading"/>
            <w:spacing w:before="240"/>
          </w:pPr>
          <w:r w:rsidRPr="00BA64B4">
            <w:t>Contents</w:t>
          </w:r>
        </w:p>
        <w:p w14:paraId="068899C8" w14:textId="77777777" w:rsidR="00271157" w:rsidRDefault="007E61B5">
          <w:pPr>
            <w:pStyle w:val="TOC1"/>
            <w:rPr>
              <w:rFonts w:asciiTheme="minorHAnsi" w:eastAsiaTheme="minorEastAsia" w:hAnsiTheme="minorHAnsi" w:cstheme="minorBidi"/>
              <w:noProof/>
              <w:szCs w:val="22"/>
            </w:rPr>
          </w:pPr>
          <w:r w:rsidRPr="00BA64B4">
            <w:fldChar w:fldCharType="begin"/>
          </w:r>
          <w:r w:rsidRPr="00BA64B4">
            <w:instrText xml:space="preserve"> TOC \h \z \u \t "Heading 1,2,Heading 2,3,Title,1" </w:instrText>
          </w:r>
          <w:r w:rsidRPr="00BA64B4">
            <w:fldChar w:fldCharType="separate"/>
          </w:r>
          <w:hyperlink w:anchor="_Toc474316414" w:history="1">
            <w:r w:rsidR="00271157" w:rsidRPr="004E4C5B">
              <w:rPr>
                <w:rStyle w:val="Hyperlink"/>
                <w:noProof/>
              </w:rPr>
              <w:t>Revisions</w:t>
            </w:r>
            <w:r w:rsidR="00271157">
              <w:rPr>
                <w:noProof/>
                <w:webHidden/>
              </w:rPr>
              <w:tab/>
            </w:r>
            <w:r w:rsidR="00271157">
              <w:rPr>
                <w:noProof/>
                <w:webHidden/>
              </w:rPr>
              <w:fldChar w:fldCharType="begin"/>
            </w:r>
            <w:r w:rsidR="00271157">
              <w:rPr>
                <w:noProof/>
                <w:webHidden/>
              </w:rPr>
              <w:instrText xml:space="preserve"> PAGEREF _Toc474316414 \h </w:instrText>
            </w:r>
            <w:r w:rsidR="00271157">
              <w:rPr>
                <w:noProof/>
                <w:webHidden/>
              </w:rPr>
            </w:r>
            <w:r w:rsidR="00271157">
              <w:rPr>
                <w:noProof/>
                <w:webHidden/>
              </w:rPr>
              <w:fldChar w:fldCharType="separate"/>
            </w:r>
            <w:r w:rsidR="00271157">
              <w:rPr>
                <w:noProof/>
                <w:webHidden/>
              </w:rPr>
              <w:t>1</w:t>
            </w:r>
            <w:r w:rsidR="00271157">
              <w:rPr>
                <w:noProof/>
                <w:webHidden/>
              </w:rPr>
              <w:fldChar w:fldCharType="end"/>
            </w:r>
          </w:hyperlink>
        </w:p>
        <w:p w14:paraId="41804840" w14:textId="77777777" w:rsidR="00271157" w:rsidRDefault="00271157">
          <w:pPr>
            <w:pStyle w:val="TOC1"/>
            <w:rPr>
              <w:rFonts w:asciiTheme="minorHAnsi" w:eastAsiaTheme="minorEastAsia" w:hAnsiTheme="minorHAnsi" w:cstheme="minorBidi"/>
              <w:noProof/>
              <w:szCs w:val="22"/>
            </w:rPr>
          </w:pPr>
          <w:hyperlink w:anchor="_Toc474316415" w:history="1">
            <w:r w:rsidRPr="004E4C5B">
              <w:rPr>
                <w:rStyle w:val="Hyperlink"/>
                <w:noProof/>
              </w:rPr>
              <w:t>A.</w:t>
            </w:r>
            <w:r>
              <w:rPr>
                <w:rFonts w:asciiTheme="minorHAnsi" w:eastAsiaTheme="minorEastAsia" w:hAnsiTheme="minorHAnsi" w:cstheme="minorBidi"/>
                <w:noProof/>
                <w:szCs w:val="22"/>
              </w:rPr>
              <w:tab/>
            </w:r>
            <w:r w:rsidRPr="004E4C5B">
              <w:rPr>
                <w:rStyle w:val="Hyperlink"/>
                <w:noProof/>
              </w:rPr>
              <w:t>General Instructions</w:t>
            </w:r>
            <w:r>
              <w:rPr>
                <w:noProof/>
                <w:webHidden/>
              </w:rPr>
              <w:tab/>
            </w:r>
            <w:r>
              <w:rPr>
                <w:noProof/>
                <w:webHidden/>
              </w:rPr>
              <w:fldChar w:fldCharType="begin"/>
            </w:r>
            <w:r>
              <w:rPr>
                <w:noProof/>
                <w:webHidden/>
              </w:rPr>
              <w:instrText xml:space="preserve"> PAGEREF _Toc474316415 \h </w:instrText>
            </w:r>
            <w:r>
              <w:rPr>
                <w:noProof/>
                <w:webHidden/>
              </w:rPr>
            </w:r>
            <w:r>
              <w:rPr>
                <w:noProof/>
                <w:webHidden/>
              </w:rPr>
              <w:fldChar w:fldCharType="separate"/>
            </w:r>
            <w:r>
              <w:rPr>
                <w:noProof/>
                <w:webHidden/>
              </w:rPr>
              <w:t>3</w:t>
            </w:r>
            <w:r>
              <w:rPr>
                <w:noProof/>
                <w:webHidden/>
              </w:rPr>
              <w:fldChar w:fldCharType="end"/>
            </w:r>
          </w:hyperlink>
        </w:p>
        <w:p w14:paraId="71609ABC" w14:textId="77777777" w:rsidR="00271157" w:rsidRDefault="00271157">
          <w:pPr>
            <w:pStyle w:val="TOC2"/>
            <w:rPr>
              <w:rFonts w:eastAsiaTheme="minorEastAsia" w:cstheme="minorBidi"/>
              <w:noProof/>
              <w:szCs w:val="22"/>
            </w:rPr>
          </w:pPr>
          <w:hyperlink w:anchor="_Toc474316416" w:history="1">
            <w:r w:rsidRPr="004E4C5B">
              <w:rPr>
                <w:rStyle w:val="Hyperlink"/>
                <w:noProof/>
              </w:rPr>
              <w:t>1.</w:t>
            </w:r>
            <w:r>
              <w:rPr>
                <w:rFonts w:eastAsiaTheme="minorEastAsia" w:cstheme="minorBidi"/>
                <w:noProof/>
                <w:szCs w:val="22"/>
              </w:rPr>
              <w:tab/>
            </w:r>
            <w:r w:rsidRPr="004E4C5B">
              <w:rPr>
                <w:rStyle w:val="Hyperlink"/>
                <w:noProof/>
              </w:rPr>
              <w:t>Timeline</w:t>
            </w:r>
            <w:r>
              <w:rPr>
                <w:noProof/>
                <w:webHidden/>
              </w:rPr>
              <w:tab/>
            </w:r>
            <w:r>
              <w:rPr>
                <w:noProof/>
                <w:webHidden/>
              </w:rPr>
              <w:fldChar w:fldCharType="begin"/>
            </w:r>
            <w:r>
              <w:rPr>
                <w:noProof/>
                <w:webHidden/>
              </w:rPr>
              <w:instrText xml:space="preserve"> PAGEREF _Toc474316416 \h </w:instrText>
            </w:r>
            <w:r>
              <w:rPr>
                <w:noProof/>
                <w:webHidden/>
              </w:rPr>
            </w:r>
            <w:r>
              <w:rPr>
                <w:noProof/>
                <w:webHidden/>
              </w:rPr>
              <w:fldChar w:fldCharType="separate"/>
            </w:r>
            <w:r>
              <w:rPr>
                <w:noProof/>
                <w:webHidden/>
              </w:rPr>
              <w:t>3</w:t>
            </w:r>
            <w:r>
              <w:rPr>
                <w:noProof/>
                <w:webHidden/>
              </w:rPr>
              <w:fldChar w:fldCharType="end"/>
            </w:r>
          </w:hyperlink>
        </w:p>
        <w:p w14:paraId="221D162F" w14:textId="77777777" w:rsidR="00271157" w:rsidRDefault="00271157">
          <w:pPr>
            <w:pStyle w:val="TOC2"/>
            <w:rPr>
              <w:rFonts w:eastAsiaTheme="minorEastAsia" w:cstheme="minorBidi"/>
              <w:noProof/>
              <w:szCs w:val="22"/>
            </w:rPr>
          </w:pPr>
          <w:hyperlink w:anchor="_Toc474316417" w:history="1">
            <w:r w:rsidRPr="004E4C5B">
              <w:rPr>
                <w:rStyle w:val="Hyperlink"/>
                <w:noProof/>
              </w:rPr>
              <w:t>2.</w:t>
            </w:r>
            <w:r>
              <w:rPr>
                <w:rFonts w:eastAsiaTheme="minorEastAsia" w:cstheme="minorBidi"/>
                <w:noProof/>
                <w:szCs w:val="22"/>
              </w:rPr>
              <w:tab/>
            </w:r>
            <w:r w:rsidRPr="004E4C5B">
              <w:rPr>
                <w:rStyle w:val="Hyperlink"/>
                <w:noProof/>
              </w:rPr>
              <w:t>Pennsylvania Filing Requirements</w:t>
            </w:r>
            <w:r>
              <w:rPr>
                <w:noProof/>
                <w:webHidden/>
              </w:rPr>
              <w:tab/>
            </w:r>
            <w:r>
              <w:rPr>
                <w:noProof/>
                <w:webHidden/>
              </w:rPr>
              <w:fldChar w:fldCharType="begin"/>
            </w:r>
            <w:r>
              <w:rPr>
                <w:noProof/>
                <w:webHidden/>
              </w:rPr>
              <w:instrText xml:space="preserve"> PAGEREF _Toc474316417 \h </w:instrText>
            </w:r>
            <w:r>
              <w:rPr>
                <w:noProof/>
                <w:webHidden/>
              </w:rPr>
            </w:r>
            <w:r>
              <w:rPr>
                <w:noProof/>
                <w:webHidden/>
              </w:rPr>
              <w:fldChar w:fldCharType="separate"/>
            </w:r>
            <w:r>
              <w:rPr>
                <w:noProof/>
                <w:webHidden/>
              </w:rPr>
              <w:t>3</w:t>
            </w:r>
            <w:r>
              <w:rPr>
                <w:noProof/>
                <w:webHidden/>
              </w:rPr>
              <w:fldChar w:fldCharType="end"/>
            </w:r>
          </w:hyperlink>
        </w:p>
        <w:p w14:paraId="50E8D487" w14:textId="77777777" w:rsidR="00271157" w:rsidRDefault="00271157">
          <w:pPr>
            <w:pStyle w:val="TOC3"/>
            <w:rPr>
              <w:rFonts w:eastAsiaTheme="minorEastAsia" w:cstheme="minorBidi"/>
              <w:noProof/>
              <w:szCs w:val="22"/>
            </w:rPr>
          </w:pPr>
          <w:hyperlink w:anchor="_Toc474316418" w:history="1">
            <w:r w:rsidRPr="004E4C5B">
              <w:rPr>
                <w:rStyle w:val="Hyperlink"/>
                <w:noProof/>
              </w:rPr>
              <w:t>B.</w:t>
            </w:r>
            <w:r>
              <w:rPr>
                <w:rFonts w:eastAsiaTheme="minorEastAsia" w:cstheme="minorBidi"/>
                <w:noProof/>
                <w:szCs w:val="22"/>
              </w:rPr>
              <w:tab/>
            </w:r>
            <w:r w:rsidRPr="004E4C5B">
              <w:rPr>
                <w:rStyle w:val="Hyperlink"/>
                <w:noProof/>
              </w:rPr>
              <w:t>HIOS Submission</w:t>
            </w:r>
            <w:r>
              <w:rPr>
                <w:noProof/>
                <w:webHidden/>
              </w:rPr>
              <w:tab/>
            </w:r>
            <w:r>
              <w:rPr>
                <w:noProof/>
                <w:webHidden/>
              </w:rPr>
              <w:fldChar w:fldCharType="begin"/>
            </w:r>
            <w:r>
              <w:rPr>
                <w:noProof/>
                <w:webHidden/>
              </w:rPr>
              <w:instrText xml:space="preserve"> PAGEREF _Toc474316418 \h </w:instrText>
            </w:r>
            <w:r>
              <w:rPr>
                <w:noProof/>
                <w:webHidden/>
              </w:rPr>
            </w:r>
            <w:r>
              <w:rPr>
                <w:noProof/>
                <w:webHidden/>
              </w:rPr>
              <w:fldChar w:fldCharType="separate"/>
            </w:r>
            <w:r>
              <w:rPr>
                <w:noProof/>
                <w:webHidden/>
              </w:rPr>
              <w:t>4</w:t>
            </w:r>
            <w:r>
              <w:rPr>
                <w:noProof/>
                <w:webHidden/>
              </w:rPr>
              <w:fldChar w:fldCharType="end"/>
            </w:r>
          </w:hyperlink>
        </w:p>
        <w:p w14:paraId="0F2E1583" w14:textId="77777777" w:rsidR="00271157" w:rsidRDefault="00271157">
          <w:pPr>
            <w:pStyle w:val="TOC3"/>
            <w:rPr>
              <w:rFonts w:eastAsiaTheme="minorEastAsia" w:cstheme="minorBidi"/>
              <w:noProof/>
              <w:szCs w:val="22"/>
            </w:rPr>
          </w:pPr>
          <w:hyperlink w:anchor="_Toc474316419" w:history="1">
            <w:r w:rsidRPr="004E4C5B">
              <w:rPr>
                <w:rStyle w:val="Hyperlink"/>
                <w:noProof/>
              </w:rPr>
              <w:t>C.</w:t>
            </w:r>
            <w:r>
              <w:rPr>
                <w:rFonts w:eastAsiaTheme="minorEastAsia" w:cstheme="minorBidi"/>
                <w:noProof/>
                <w:szCs w:val="22"/>
              </w:rPr>
              <w:tab/>
            </w:r>
            <w:r w:rsidRPr="004E4C5B">
              <w:rPr>
                <w:rStyle w:val="Hyperlink"/>
                <w:noProof/>
              </w:rPr>
              <w:t>SERFF Submission</w:t>
            </w:r>
            <w:r>
              <w:rPr>
                <w:noProof/>
                <w:webHidden/>
              </w:rPr>
              <w:tab/>
            </w:r>
            <w:r>
              <w:rPr>
                <w:noProof/>
                <w:webHidden/>
              </w:rPr>
              <w:fldChar w:fldCharType="begin"/>
            </w:r>
            <w:r>
              <w:rPr>
                <w:noProof/>
                <w:webHidden/>
              </w:rPr>
              <w:instrText xml:space="preserve"> PAGEREF _Toc474316419 \h </w:instrText>
            </w:r>
            <w:r>
              <w:rPr>
                <w:noProof/>
                <w:webHidden/>
              </w:rPr>
            </w:r>
            <w:r>
              <w:rPr>
                <w:noProof/>
                <w:webHidden/>
              </w:rPr>
              <w:fldChar w:fldCharType="separate"/>
            </w:r>
            <w:r>
              <w:rPr>
                <w:noProof/>
                <w:webHidden/>
              </w:rPr>
              <w:t>4</w:t>
            </w:r>
            <w:r>
              <w:rPr>
                <w:noProof/>
                <w:webHidden/>
              </w:rPr>
              <w:fldChar w:fldCharType="end"/>
            </w:r>
          </w:hyperlink>
        </w:p>
        <w:p w14:paraId="75FC0D97" w14:textId="77777777" w:rsidR="00271157" w:rsidRDefault="00271157">
          <w:pPr>
            <w:pStyle w:val="TOC3"/>
            <w:rPr>
              <w:rFonts w:eastAsiaTheme="minorEastAsia" w:cstheme="minorBidi"/>
              <w:noProof/>
              <w:szCs w:val="22"/>
            </w:rPr>
          </w:pPr>
          <w:hyperlink w:anchor="_Toc474316420" w:history="1">
            <w:r w:rsidRPr="004E4C5B">
              <w:rPr>
                <w:rStyle w:val="Hyperlink"/>
                <w:noProof/>
              </w:rPr>
              <w:t>D.</w:t>
            </w:r>
            <w:r>
              <w:rPr>
                <w:rFonts w:eastAsiaTheme="minorEastAsia" w:cstheme="minorBidi"/>
                <w:noProof/>
                <w:szCs w:val="22"/>
              </w:rPr>
              <w:tab/>
            </w:r>
            <w:r w:rsidRPr="004E4C5B">
              <w:rPr>
                <w:rStyle w:val="Hyperlink"/>
                <w:noProof/>
              </w:rPr>
              <w:t>SERFF Rate/Rule Schedule Tab</w:t>
            </w:r>
            <w:r>
              <w:rPr>
                <w:noProof/>
                <w:webHidden/>
              </w:rPr>
              <w:tab/>
            </w:r>
            <w:r>
              <w:rPr>
                <w:noProof/>
                <w:webHidden/>
              </w:rPr>
              <w:fldChar w:fldCharType="begin"/>
            </w:r>
            <w:r>
              <w:rPr>
                <w:noProof/>
                <w:webHidden/>
              </w:rPr>
              <w:instrText xml:space="preserve"> PAGEREF _Toc474316420 \h </w:instrText>
            </w:r>
            <w:r>
              <w:rPr>
                <w:noProof/>
                <w:webHidden/>
              </w:rPr>
            </w:r>
            <w:r>
              <w:rPr>
                <w:noProof/>
                <w:webHidden/>
              </w:rPr>
              <w:fldChar w:fldCharType="separate"/>
            </w:r>
            <w:r>
              <w:rPr>
                <w:noProof/>
                <w:webHidden/>
              </w:rPr>
              <w:t>5</w:t>
            </w:r>
            <w:r>
              <w:rPr>
                <w:noProof/>
                <w:webHidden/>
              </w:rPr>
              <w:fldChar w:fldCharType="end"/>
            </w:r>
          </w:hyperlink>
        </w:p>
        <w:p w14:paraId="61A2533D" w14:textId="77777777" w:rsidR="00271157" w:rsidRDefault="00271157">
          <w:pPr>
            <w:pStyle w:val="TOC3"/>
            <w:rPr>
              <w:rFonts w:eastAsiaTheme="minorEastAsia" w:cstheme="minorBidi"/>
              <w:noProof/>
              <w:szCs w:val="22"/>
            </w:rPr>
          </w:pPr>
          <w:hyperlink w:anchor="_Toc474316421" w:history="1">
            <w:r w:rsidRPr="004E4C5B">
              <w:rPr>
                <w:rStyle w:val="Hyperlink"/>
                <w:noProof/>
              </w:rPr>
              <w:t>E.</w:t>
            </w:r>
            <w:r>
              <w:rPr>
                <w:rFonts w:eastAsiaTheme="minorEastAsia" w:cstheme="minorBidi"/>
                <w:noProof/>
                <w:szCs w:val="22"/>
              </w:rPr>
              <w:tab/>
            </w:r>
            <w:r w:rsidRPr="004E4C5B">
              <w:rPr>
                <w:rStyle w:val="Hyperlink"/>
                <w:noProof/>
              </w:rPr>
              <w:t>Pennsylvania Insurance Department Contact</w:t>
            </w:r>
            <w:r>
              <w:rPr>
                <w:noProof/>
                <w:webHidden/>
              </w:rPr>
              <w:tab/>
            </w:r>
            <w:r>
              <w:rPr>
                <w:noProof/>
                <w:webHidden/>
              </w:rPr>
              <w:fldChar w:fldCharType="begin"/>
            </w:r>
            <w:r>
              <w:rPr>
                <w:noProof/>
                <w:webHidden/>
              </w:rPr>
              <w:instrText xml:space="preserve"> PAGEREF _Toc474316421 \h </w:instrText>
            </w:r>
            <w:r>
              <w:rPr>
                <w:noProof/>
                <w:webHidden/>
              </w:rPr>
            </w:r>
            <w:r>
              <w:rPr>
                <w:noProof/>
                <w:webHidden/>
              </w:rPr>
              <w:fldChar w:fldCharType="separate"/>
            </w:r>
            <w:r>
              <w:rPr>
                <w:noProof/>
                <w:webHidden/>
              </w:rPr>
              <w:t>5</w:t>
            </w:r>
            <w:r>
              <w:rPr>
                <w:noProof/>
                <w:webHidden/>
              </w:rPr>
              <w:fldChar w:fldCharType="end"/>
            </w:r>
          </w:hyperlink>
        </w:p>
        <w:p w14:paraId="2B602EE4" w14:textId="77777777" w:rsidR="00271157" w:rsidRDefault="00271157">
          <w:pPr>
            <w:pStyle w:val="TOC1"/>
            <w:rPr>
              <w:rFonts w:asciiTheme="minorHAnsi" w:eastAsiaTheme="minorEastAsia" w:hAnsiTheme="minorHAnsi" w:cstheme="minorBidi"/>
              <w:noProof/>
              <w:szCs w:val="22"/>
            </w:rPr>
          </w:pPr>
          <w:hyperlink w:anchor="_Toc474316422" w:history="1">
            <w:r w:rsidRPr="004E4C5B">
              <w:rPr>
                <w:rStyle w:val="Hyperlink"/>
                <w:noProof/>
              </w:rPr>
              <w:t>B.</w:t>
            </w:r>
            <w:r>
              <w:rPr>
                <w:rFonts w:asciiTheme="minorHAnsi" w:eastAsiaTheme="minorEastAsia" w:hAnsiTheme="minorHAnsi" w:cstheme="minorBidi"/>
                <w:noProof/>
                <w:szCs w:val="22"/>
              </w:rPr>
              <w:tab/>
            </w:r>
            <w:r w:rsidRPr="004E4C5B">
              <w:rPr>
                <w:rStyle w:val="Hyperlink"/>
                <w:noProof/>
              </w:rPr>
              <w:t>Cover Letter and PA Bulletin Information</w:t>
            </w:r>
            <w:r>
              <w:rPr>
                <w:noProof/>
                <w:webHidden/>
              </w:rPr>
              <w:tab/>
            </w:r>
            <w:r>
              <w:rPr>
                <w:noProof/>
                <w:webHidden/>
              </w:rPr>
              <w:fldChar w:fldCharType="begin"/>
            </w:r>
            <w:r>
              <w:rPr>
                <w:noProof/>
                <w:webHidden/>
              </w:rPr>
              <w:instrText xml:space="preserve"> PAGEREF _Toc474316422 \h </w:instrText>
            </w:r>
            <w:r>
              <w:rPr>
                <w:noProof/>
                <w:webHidden/>
              </w:rPr>
            </w:r>
            <w:r>
              <w:rPr>
                <w:noProof/>
                <w:webHidden/>
              </w:rPr>
              <w:fldChar w:fldCharType="separate"/>
            </w:r>
            <w:r>
              <w:rPr>
                <w:noProof/>
                <w:webHidden/>
              </w:rPr>
              <w:t>5</w:t>
            </w:r>
            <w:r>
              <w:rPr>
                <w:noProof/>
                <w:webHidden/>
              </w:rPr>
              <w:fldChar w:fldCharType="end"/>
            </w:r>
          </w:hyperlink>
        </w:p>
        <w:p w14:paraId="23F3B19A" w14:textId="77777777" w:rsidR="00271157" w:rsidRDefault="00271157">
          <w:pPr>
            <w:pStyle w:val="TOC1"/>
            <w:rPr>
              <w:rFonts w:asciiTheme="minorHAnsi" w:eastAsiaTheme="minorEastAsia" w:hAnsiTheme="minorHAnsi" w:cstheme="minorBidi"/>
              <w:noProof/>
              <w:szCs w:val="22"/>
            </w:rPr>
          </w:pPr>
          <w:hyperlink w:anchor="_Toc474316423" w:history="1">
            <w:r w:rsidRPr="004E4C5B">
              <w:rPr>
                <w:rStyle w:val="Hyperlink"/>
                <w:noProof/>
              </w:rPr>
              <w:t>C.</w:t>
            </w:r>
            <w:r>
              <w:rPr>
                <w:rFonts w:asciiTheme="minorHAnsi" w:eastAsiaTheme="minorEastAsia" w:hAnsiTheme="minorHAnsi" w:cstheme="minorBidi"/>
                <w:noProof/>
                <w:szCs w:val="22"/>
              </w:rPr>
              <w:tab/>
            </w:r>
            <w:r w:rsidRPr="004E4C5B">
              <w:rPr>
                <w:rStyle w:val="Hyperlink"/>
                <w:noProof/>
              </w:rPr>
              <w:t>Rate Change Request Summary</w:t>
            </w:r>
            <w:r>
              <w:rPr>
                <w:noProof/>
                <w:webHidden/>
              </w:rPr>
              <w:tab/>
            </w:r>
            <w:r>
              <w:rPr>
                <w:noProof/>
                <w:webHidden/>
              </w:rPr>
              <w:fldChar w:fldCharType="begin"/>
            </w:r>
            <w:r>
              <w:rPr>
                <w:noProof/>
                <w:webHidden/>
              </w:rPr>
              <w:instrText xml:space="preserve"> PAGEREF _Toc474316423 \h </w:instrText>
            </w:r>
            <w:r>
              <w:rPr>
                <w:noProof/>
                <w:webHidden/>
              </w:rPr>
            </w:r>
            <w:r>
              <w:rPr>
                <w:noProof/>
                <w:webHidden/>
              </w:rPr>
              <w:fldChar w:fldCharType="separate"/>
            </w:r>
            <w:r>
              <w:rPr>
                <w:noProof/>
                <w:webHidden/>
              </w:rPr>
              <w:t>5</w:t>
            </w:r>
            <w:r>
              <w:rPr>
                <w:noProof/>
                <w:webHidden/>
              </w:rPr>
              <w:fldChar w:fldCharType="end"/>
            </w:r>
          </w:hyperlink>
        </w:p>
        <w:p w14:paraId="56F13371" w14:textId="77777777" w:rsidR="00271157" w:rsidRDefault="00271157">
          <w:pPr>
            <w:pStyle w:val="TOC1"/>
            <w:rPr>
              <w:rFonts w:asciiTheme="minorHAnsi" w:eastAsiaTheme="minorEastAsia" w:hAnsiTheme="minorHAnsi" w:cstheme="minorBidi"/>
              <w:noProof/>
              <w:szCs w:val="22"/>
            </w:rPr>
          </w:pPr>
          <w:hyperlink w:anchor="_Toc474316424" w:history="1">
            <w:r w:rsidRPr="004E4C5B">
              <w:rPr>
                <w:rStyle w:val="Hyperlink"/>
                <w:noProof/>
              </w:rPr>
              <w:t>D.</w:t>
            </w:r>
            <w:r>
              <w:rPr>
                <w:rFonts w:asciiTheme="minorHAnsi" w:eastAsiaTheme="minorEastAsia" w:hAnsiTheme="minorHAnsi" w:cstheme="minorBidi"/>
                <w:noProof/>
                <w:szCs w:val="22"/>
              </w:rPr>
              <w:tab/>
            </w:r>
            <w:r w:rsidRPr="004E4C5B">
              <w:rPr>
                <w:rStyle w:val="Hyperlink"/>
                <w:noProof/>
              </w:rPr>
              <w:t>Pennsylvania Actuarial Memorandum &amp; Rate Exhibits</w:t>
            </w:r>
            <w:r>
              <w:rPr>
                <w:noProof/>
                <w:webHidden/>
              </w:rPr>
              <w:tab/>
            </w:r>
            <w:r>
              <w:rPr>
                <w:noProof/>
                <w:webHidden/>
              </w:rPr>
              <w:fldChar w:fldCharType="begin"/>
            </w:r>
            <w:r>
              <w:rPr>
                <w:noProof/>
                <w:webHidden/>
              </w:rPr>
              <w:instrText xml:space="preserve"> PAGEREF _Toc474316424 \h </w:instrText>
            </w:r>
            <w:r>
              <w:rPr>
                <w:noProof/>
                <w:webHidden/>
              </w:rPr>
            </w:r>
            <w:r>
              <w:rPr>
                <w:noProof/>
                <w:webHidden/>
              </w:rPr>
              <w:fldChar w:fldCharType="separate"/>
            </w:r>
            <w:r>
              <w:rPr>
                <w:noProof/>
                <w:webHidden/>
              </w:rPr>
              <w:t>6</w:t>
            </w:r>
            <w:r>
              <w:rPr>
                <w:noProof/>
                <w:webHidden/>
              </w:rPr>
              <w:fldChar w:fldCharType="end"/>
            </w:r>
          </w:hyperlink>
        </w:p>
        <w:p w14:paraId="7E4F4F5D" w14:textId="77777777" w:rsidR="00271157" w:rsidRDefault="00271157">
          <w:pPr>
            <w:pStyle w:val="TOC2"/>
            <w:rPr>
              <w:rFonts w:eastAsiaTheme="minorEastAsia" w:cstheme="minorBidi"/>
              <w:noProof/>
              <w:szCs w:val="22"/>
            </w:rPr>
          </w:pPr>
          <w:hyperlink w:anchor="_Toc474316425" w:history="1">
            <w:r w:rsidRPr="004E4C5B">
              <w:rPr>
                <w:rStyle w:val="Hyperlink"/>
                <w:noProof/>
              </w:rPr>
              <w:t>1.</w:t>
            </w:r>
            <w:r>
              <w:rPr>
                <w:rFonts w:eastAsiaTheme="minorEastAsia" w:cstheme="minorBidi"/>
                <w:noProof/>
                <w:szCs w:val="22"/>
              </w:rPr>
              <w:tab/>
            </w:r>
            <w:r w:rsidRPr="004E4C5B">
              <w:rPr>
                <w:rStyle w:val="Hyperlink"/>
                <w:noProof/>
              </w:rPr>
              <w:t>Basic Information and Data</w:t>
            </w:r>
            <w:r>
              <w:rPr>
                <w:noProof/>
                <w:webHidden/>
              </w:rPr>
              <w:tab/>
            </w:r>
            <w:r>
              <w:rPr>
                <w:noProof/>
                <w:webHidden/>
              </w:rPr>
              <w:fldChar w:fldCharType="begin"/>
            </w:r>
            <w:r>
              <w:rPr>
                <w:noProof/>
                <w:webHidden/>
              </w:rPr>
              <w:instrText xml:space="preserve"> PAGEREF _Toc474316425 \h </w:instrText>
            </w:r>
            <w:r>
              <w:rPr>
                <w:noProof/>
                <w:webHidden/>
              </w:rPr>
            </w:r>
            <w:r>
              <w:rPr>
                <w:noProof/>
                <w:webHidden/>
              </w:rPr>
              <w:fldChar w:fldCharType="separate"/>
            </w:r>
            <w:r>
              <w:rPr>
                <w:noProof/>
                <w:webHidden/>
              </w:rPr>
              <w:t>7</w:t>
            </w:r>
            <w:r>
              <w:rPr>
                <w:noProof/>
                <w:webHidden/>
              </w:rPr>
              <w:fldChar w:fldCharType="end"/>
            </w:r>
          </w:hyperlink>
        </w:p>
        <w:p w14:paraId="43A49068" w14:textId="77777777" w:rsidR="00271157" w:rsidRDefault="00271157">
          <w:pPr>
            <w:pStyle w:val="TOC3"/>
            <w:rPr>
              <w:rFonts w:eastAsiaTheme="minorEastAsia" w:cstheme="minorBidi"/>
              <w:noProof/>
              <w:szCs w:val="22"/>
            </w:rPr>
          </w:pPr>
          <w:hyperlink w:anchor="_Toc474316426" w:history="1">
            <w:r w:rsidRPr="004E4C5B">
              <w:rPr>
                <w:rStyle w:val="Hyperlink"/>
                <w:noProof/>
              </w:rPr>
              <w:t>A.</w:t>
            </w:r>
            <w:r>
              <w:rPr>
                <w:rFonts w:eastAsiaTheme="minorEastAsia" w:cstheme="minorBidi"/>
                <w:noProof/>
                <w:szCs w:val="22"/>
              </w:rPr>
              <w:tab/>
            </w:r>
            <w:r w:rsidRPr="004E4C5B">
              <w:rPr>
                <w:rStyle w:val="Hyperlink"/>
                <w:noProof/>
              </w:rPr>
              <w:t>Company Information (Table 0)</w:t>
            </w:r>
            <w:r>
              <w:rPr>
                <w:noProof/>
                <w:webHidden/>
              </w:rPr>
              <w:tab/>
            </w:r>
            <w:r>
              <w:rPr>
                <w:noProof/>
                <w:webHidden/>
              </w:rPr>
              <w:fldChar w:fldCharType="begin"/>
            </w:r>
            <w:r>
              <w:rPr>
                <w:noProof/>
                <w:webHidden/>
              </w:rPr>
              <w:instrText xml:space="preserve"> PAGEREF _Toc474316426 \h </w:instrText>
            </w:r>
            <w:r>
              <w:rPr>
                <w:noProof/>
                <w:webHidden/>
              </w:rPr>
            </w:r>
            <w:r>
              <w:rPr>
                <w:noProof/>
                <w:webHidden/>
              </w:rPr>
              <w:fldChar w:fldCharType="separate"/>
            </w:r>
            <w:r>
              <w:rPr>
                <w:noProof/>
                <w:webHidden/>
              </w:rPr>
              <w:t>7</w:t>
            </w:r>
            <w:r>
              <w:rPr>
                <w:noProof/>
                <w:webHidden/>
              </w:rPr>
              <w:fldChar w:fldCharType="end"/>
            </w:r>
          </w:hyperlink>
        </w:p>
        <w:p w14:paraId="1B44B5BB" w14:textId="77777777" w:rsidR="00271157" w:rsidRDefault="00271157">
          <w:pPr>
            <w:pStyle w:val="TOC3"/>
            <w:rPr>
              <w:rFonts w:eastAsiaTheme="minorEastAsia" w:cstheme="minorBidi"/>
              <w:noProof/>
              <w:szCs w:val="22"/>
            </w:rPr>
          </w:pPr>
          <w:hyperlink w:anchor="_Toc474316427" w:history="1">
            <w:r w:rsidRPr="004E4C5B">
              <w:rPr>
                <w:rStyle w:val="Hyperlink"/>
                <w:noProof/>
              </w:rPr>
              <w:t>B.</w:t>
            </w:r>
            <w:r>
              <w:rPr>
                <w:rFonts w:eastAsiaTheme="minorEastAsia" w:cstheme="minorBidi"/>
                <w:noProof/>
                <w:szCs w:val="22"/>
              </w:rPr>
              <w:tab/>
            </w:r>
            <w:r w:rsidRPr="004E4C5B">
              <w:rPr>
                <w:rStyle w:val="Hyperlink"/>
                <w:noProof/>
              </w:rPr>
              <w:t>Rate History and Proposed Variations in Rate Changes</w:t>
            </w:r>
            <w:r>
              <w:rPr>
                <w:noProof/>
                <w:webHidden/>
              </w:rPr>
              <w:tab/>
            </w:r>
            <w:r>
              <w:rPr>
                <w:noProof/>
                <w:webHidden/>
              </w:rPr>
              <w:fldChar w:fldCharType="begin"/>
            </w:r>
            <w:r>
              <w:rPr>
                <w:noProof/>
                <w:webHidden/>
              </w:rPr>
              <w:instrText xml:space="preserve"> PAGEREF _Toc474316427 \h </w:instrText>
            </w:r>
            <w:r>
              <w:rPr>
                <w:noProof/>
                <w:webHidden/>
              </w:rPr>
            </w:r>
            <w:r>
              <w:rPr>
                <w:noProof/>
                <w:webHidden/>
              </w:rPr>
              <w:fldChar w:fldCharType="separate"/>
            </w:r>
            <w:r>
              <w:rPr>
                <w:noProof/>
                <w:webHidden/>
              </w:rPr>
              <w:t>7</w:t>
            </w:r>
            <w:r>
              <w:rPr>
                <w:noProof/>
                <w:webHidden/>
              </w:rPr>
              <w:fldChar w:fldCharType="end"/>
            </w:r>
          </w:hyperlink>
        </w:p>
        <w:p w14:paraId="35FC9981" w14:textId="77777777" w:rsidR="00271157" w:rsidRDefault="00271157">
          <w:pPr>
            <w:pStyle w:val="TOC3"/>
            <w:rPr>
              <w:rFonts w:eastAsiaTheme="minorEastAsia" w:cstheme="minorBidi"/>
              <w:noProof/>
              <w:szCs w:val="22"/>
            </w:rPr>
          </w:pPr>
          <w:hyperlink w:anchor="_Toc474316428" w:history="1">
            <w:r w:rsidRPr="004E4C5B">
              <w:rPr>
                <w:rStyle w:val="Hyperlink"/>
                <w:noProof/>
              </w:rPr>
              <w:t>C.</w:t>
            </w:r>
            <w:r>
              <w:rPr>
                <w:rFonts w:eastAsiaTheme="minorEastAsia" w:cstheme="minorBidi"/>
                <w:noProof/>
                <w:szCs w:val="22"/>
              </w:rPr>
              <w:tab/>
            </w:r>
            <w:r w:rsidRPr="004E4C5B">
              <w:rPr>
                <w:rStyle w:val="Hyperlink"/>
                <w:noProof/>
              </w:rPr>
              <w:t>Average Rate Change</w:t>
            </w:r>
            <w:r>
              <w:rPr>
                <w:noProof/>
                <w:webHidden/>
              </w:rPr>
              <w:tab/>
            </w:r>
            <w:r>
              <w:rPr>
                <w:noProof/>
                <w:webHidden/>
              </w:rPr>
              <w:fldChar w:fldCharType="begin"/>
            </w:r>
            <w:r>
              <w:rPr>
                <w:noProof/>
                <w:webHidden/>
              </w:rPr>
              <w:instrText xml:space="preserve"> PAGEREF _Toc474316428 \h </w:instrText>
            </w:r>
            <w:r>
              <w:rPr>
                <w:noProof/>
                <w:webHidden/>
              </w:rPr>
            </w:r>
            <w:r>
              <w:rPr>
                <w:noProof/>
                <w:webHidden/>
              </w:rPr>
              <w:fldChar w:fldCharType="separate"/>
            </w:r>
            <w:r>
              <w:rPr>
                <w:noProof/>
                <w:webHidden/>
              </w:rPr>
              <w:t>8</w:t>
            </w:r>
            <w:r>
              <w:rPr>
                <w:noProof/>
                <w:webHidden/>
              </w:rPr>
              <w:fldChar w:fldCharType="end"/>
            </w:r>
          </w:hyperlink>
        </w:p>
        <w:p w14:paraId="3699CA26" w14:textId="77777777" w:rsidR="00271157" w:rsidRDefault="00271157">
          <w:pPr>
            <w:pStyle w:val="TOC3"/>
            <w:rPr>
              <w:rFonts w:eastAsiaTheme="minorEastAsia" w:cstheme="minorBidi"/>
              <w:noProof/>
              <w:szCs w:val="22"/>
            </w:rPr>
          </w:pPr>
          <w:hyperlink w:anchor="_Toc474316429" w:history="1">
            <w:r w:rsidRPr="004E4C5B">
              <w:rPr>
                <w:rStyle w:val="Hyperlink"/>
                <w:noProof/>
              </w:rPr>
              <w:t>D.</w:t>
            </w:r>
            <w:r>
              <w:rPr>
                <w:rFonts w:eastAsiaTheme="minorEastAsia" w:cstheme="minorBidi"/>
                <w:noProof/>
                <w:szCs w:val="22"/>
              </w:rPr>
              <w:tab/>
            </w:r>
            <w:r w:rsidRPr="004E4C5B">
              <w:rPr>
                <w:rStyle w:val="Hyperlink"/>
                <w:noProof/>
              </w:rPr>
              <w:t>Membership Count (Table 1)</w:t>
            </w:r>
            <w:r>
              <w:rPr>
                <w:noProof/>
                <w:webHidden/>
              </w:rPr>
              <w:tab/>
            </w:r>
            <w:r>
              <w:rPr>
                <w:noProof/>
                <w:webHidden/>
              </w:rPr>
              <w:fldChar w:fldCharType="begin"/>
            </w:r>
            <w:r>
              <w:rPr>
                <w:noProof/>
                <w:webHidden/>
              </w:rPr>
              <w:instrText xml:space="preserve"> PAGEREF _Toc474316429 \h </w:instrText>
            </w:r>
            <w:r>
              <w:rPr>
                <w:noProof/>
                <w:webHidden/>
              </w:rPr>
            </w:r>
            <w:r>
              <w:rPr>
                <w:noProof/>
                <w:webHidden/>
              </w:rPr>
              <w:fldChar w:fldCharType="separate"/>
            </w:r>
            <w:r>
              <w:rPr>
                <w:noProof/>
                <w:webHidden/>
              </w:rPr>
              <w:t>8</w:t>
            </w:r>
            <w:r>
              <w:rPr>
                <w:noProof/>
                <w:webHidden/>
              </w:rPr>
              <w:fldChar w:fldCharType="end"/>
            </w:r>
          </w:hyperlink>
        </w:p>
        <w:p w14:paraId="44ECD6F1" w14:textId="77777777" w:rsidR="00271157" w:rsidRDefault="00271157">
          <w:pPr>
            <w:pStyle w:val="TOC3"/>
            <w:rPr>
              <w:rFonts w:eastAsiaTheme="minorEastAsia" w:cstheme="minorBidi"/>
              <w:noProof/>
              <w:szCs w:val="22"/>
            </w:rPr>
          </w:pPr>
          <w:hyperlink w:anchor="_Toc474316430" w:history="1">
            <w:r w:rsidRPr="004E4C5B">
              <w:rPr>
                <w:rStyle w:val="Hyperlink"/>
                <w:noProof/>
              </w:rPr>
              <w:t>E.</w:t>
            </w:r>
            <w:r>
              <w:rPr>
                <w:rFonts w:eastAsiaTheme="minorEastAsia" w:cstheme="minorBidi"/>
                <w:noProof/>
                <w:szCs w:val="22"/>
              </w:rPr>
              <w:tab/>
            </w:r>
            <w:r w:rsidRPr="004E4C5B">
              <w:rPr>
                <w:rStyle w:val="Hyperlink"/>
                <w:noProof/>
              </w:rPr>
              <w:t>Benefit Changes</w:t>
            </w:r>
            <w:r>
              <w:rPr>
                <w:noProof/>
                <w:webHidden/>
              </w:rPr>
              <w:tab/>
            </w:r>
            <w:r>
              <w:rPr>
                <w:noProof/>
                <w:webHidden/>
              </w:rPr>
              <w:fldChar w:fldCharType="begin"/>
            </w:r>
            <w:r>
              <w:rPr>
                <w:noProof/>
                <w:webHidden/>
              </w:rPr>
              <w:instrText xml:space="preserve"> PAGEREF _Toc474316430 \h </w:instrText>
            </w:r>
            <w:r>
              <w:rPr>
                <w:noProof/>
                <w:webHidden/>
              </w:rPr>
            </w:r>
            <w:r>
              <w:rPr>
                <w:noProof/>
                <w:webHidden/>
              </w:rPr>
              <w:fldChar w:fldCharType="separate"/>
            </w:r>
            <w:r>
              <w:rPr>
                <w:noProof/>
                <w:webHidden/>
              </w:rPr>
              <w:t>8</w:t>
            </w:r>
            <w:r>
              <w:rPr>
                <w:noProof/>
                <w:webHidden/>
              </w:rPr>
              <w:fldChar w:fldCharType="end"/>
            </w:r>
          </w:hyperlink>
        </w:p>
        <w:p w14:paraId="4CFEABCC" w14:textId="77777777" w:rsidR="00271157" w:rsidRDefault="00271157">
          <w:pPr>
            <w:pStyle w:val="TOC3"/>
            <w:rPr>
              <w:rFonts w:eastAsiaTheme="minorEastAsia" w:cstheme="minorBidi"/>
              <w:noProof/>
              <w:szCs w:val="22"/>
            </w:rPr>
          </w:pPr>
          <w:hyperlink w:anchor="_Toc474316431" w:history="1">
            <w:r w:rsidRPr="004E4C5B">
              <w:rPr>
                <w:rStyle w:val="Hyperlink"/>
                <w:noProof/>
              </w:rPr>
              <w:t>F.</w:t>
            </w:r>
            <w:r>
              <w:rPr>
                <w:rFonts w:eastAsiaTheme="minorEastAsia" w:cstheme="minorBidi"/>
                <w:noProof/>
                <w:szCs w:val="22"/>
              </w:rPr>
              <w:tab/>
            </w:r>
            <w:r w:rsidRPr="004E4C5B">
              <w:rPr>
                <w:rStyle w:val="Hyperlink"/>
                <w:noProof/>
              </w:rPr>
              <w:t>Experience Period Claims and Premium (Table 2)</w:t>
            </w:r>
            <w:r>
              <w:rPr>
                <w:noProof/>
                <w:webHidden/>
              </w:rPr>
              <w:tab/>
            </w:r>
            <w:r>
              <w:rPr>
                <w:noProof/>
                <w:webHidden/>
              </w:rPr>
              <w:fldChar w:fldCharType="begin"/>
            </w:r>
            <w:r>
              <w:rPr>
                <w:noProof/>
                <w:webHidden/>
              </w:rPr>
              <w:instrText xml:space="preserve"> PAGEREF _Toc474316431 \h </w:instrText>
            </w:r>
            <w:r>
              <w:rPr>
                <w:noProof/>
                <w:webHidden/>
              </w:rPr>
            </w:r>
            <w:r>
              <w:rPr>
                <w:noProof/>
                <w:webHidden/>
              </w:rPr>
              <w:fldChar w:fldCharType="separate"/>
            </w:r>
            <w:r>
              <w:rPr>
                <w:noProof/>
                <w:webHidden/>
              </w:rPr>
              <w:t>8</w:t>
            </w:r>
            <w:r>
              <w:rPr>
                <w:noProof/>
                <w:webHidden/>
              </w:rPr>
              <w:fldChar w:fldCharType="end"/>
            </w:r>
          </w:hyperlink>
        </w:p>
        <w:p w14:paraId="61119F8D" w14:textId="77777777" w:rsidR="00271157" w:rsidRDefault="00271157">
          <w:pPr>
            <w:pStyle w:val="TOC3"/>
            <w:rPr>
              <w:rFonts w:eastAsiaTheme="minorEastAsia" w:cstheme="minorBidi"/>
              <w:noProof/>
              <w:szCs w:val="22"/>
            </w:rPr>
          </w:pPr>
          <w:hyperlink w:anchor="_Toc474316432" w:history="1">
            <w:r w:rsidRPr="004E4C5B">
              <w:rPr>
                <w:rStyle w:val="Hyperlink"/>
                <w:noProof/>
              </w:rPr>
              <w:t>G.</w:t>
            </w:r>
            <w:r>
              <w:rPr>
                <w:rFonts w:eastAsiaTheme="minorEastAsia" w:cstheme="minorBidi"/>
                <w:noProof/>
                <w:szCs w:val="22"/>
              </w:rPr>
              <w:tab/>
            </w:r>
            <w:r w:rsidRPr="004E4C5B">
              <w:rPr>
                <w:rStyle w:val="Hyperlink"/>
                <w:noProof/>
              </w:rPr>
              <w:t>Credibility of Data (Tables 2b, 3b, 4b)</w:t>
            </w:r>
            <w:r>
              <w:rPr>
                <w:noProof/>
                <w:webHidden/>
              </w:rPr>
              <w:tab/>
            </w:r>
            <w:r>
              <w:rPr>
                <w:noProof/>
                <w:webHidden/>
              </w:rPr>
              <w:fldChar w:fldCharType="begin"/>
            </w:r>
            <w:r>
              <w:rPr>
                <w:noProof/>
                <w:webHidden/>
              </w:rPr>
              <w:instrText xml:space="preserve"> PAGEREF _Toc474316432 \h </w:instrText>
            </w:r>
            <w:r>
              <w:rPr>
                <w:noProof/>
                <w:webHidden/>
              </w:rPr>
            </w:r>
            <w:r>
              <w:rPr>
                <w:noProof/>
                <w:webHidden/>
              </w:rPr>
              <w:fldChar w:fldCharType="separate"/>
            </w:r>
            <w:r>
              <w:rPr>
                <w:noProof/>
                <w:webHidden/>
              </w:rPr>
              <w:t>9</w:t>
            </w:r>
            <w:r>
              <w:rPr>
                <w:noProof/>
                <w:webHidden/>
              </w:rPr>
              <w:fldChar w:fldCharType="end"/>
            </w:r>
          </w:hyperlink>
        </w:p>
        <w:p w14:paraId="7C22DA62" w14:textId="77777777" w:rsidR="00271157" w:rsidRDefault="00271157">
          <w:pPr>
            <w:pStyle w:val="TOC3"/>
            <w:rPr>
              <w:rFonts w:eastAsiaTheme="minorEastAsia" w:cstheme="minorBidi"/>
              <w:noProof/>
              <w:szCs w:val="22"/>
            </w:rPr>
          </w:pPr>
          <w:hyperlink w:anchor="_Toc474316433" w:history="1">
            <w:r w:rsidRPr="004E4C5B">
              <w:rPr>
                <w:rStyle w:val="Hyperlink"/>
                <w:noProof/>
              </w:rPr>
              <w:t>H.</w:t>
            </w:r>
            <w:r>
              <w:rPr>
                <w:rFonts w:eastAsiaTheme="minorEastAsia" w:cstheme="minorBidi"/>
                <w:noProof/>
                <w:szCs w:val="22"/>
              </w:rPr>
              <w:tab/>
            </w:r>
            <w:r w:rsidRPr="004E4C5B">
              <w:rPr>
                <w:rStyle w:val="Hyperlink"/>
                <w:noProof/>
              </w:rPr>
              <w:t>Trend Identification (Table 3)</w:t>
            </w:r>
            <w:r>
              <w:rPr>
                <w:noProof/>
                <w:webHidden/>
              </w:rPr>
              <w:tab/>
            </w:r>
            <w:r>
              <w:rPr>
                <w:noProof/>
                <w:webHidden/>
              </w:rPr>
              <w:fldChar w:fldCharType="begin"/>
            </w:r>
            <w:r>
              <w:rPr>
                <w:noProof/>
                <w:webHidden/>
              </w:rPr>
              <w:instrText xml:space="preserve"> PAGEREF _Toc474316433 \h </w:instrText>
            </w:r>
            <w:r>
              <w:rPr>
                <w:noProof/>
                <w:webHidden/>
              </w:rPr>
            </w:r>
            <w:r>
              <w:rPr>
                <w:noProof/>
                <w:webHidden/>
              </w:rPr>
              <w:fldChar w:fldCharType="separate"/>
            </w:r>
            <w:r>
              <w:rPr>
                <w:noProof/>
                <w:webHidden/>
              </w:rPr>
              <w:t>9</w:t>
            </w:r>
            <w:r>
              <w:rPr>
                <w:noProof/>
                <w:webHidden/>
              </w:rPr>
              <w:fldChar w:fldCharType="end"/>
            </w:r>
          </w:hyperlink>
        </w:p>
        <w:p w14:paraId="6020CC99" w14:textId="77777777" w:rsidR="00271157" w:rsidRDefault="00271157">
          <w:pPr>
            <w:pStyle w:val="TOC3"/>
            <w:rPr>
              <w:rFonts w:eastAsiaTheme="minorEastAsia" w:cstheme="minorBidi"/>
              <w:noProof/>
              <w:szCs w:val="22"/>
            </w:rPr>
          </w:pPr>
          <w:hyperlink w:anchor="_Toc474316434" w:history="1">
            <w:r w:rsidRPr="004E4C5B">
              <w:rPr>
                <w:rStyle w:val="Hyperlink"/>
                <w:noProof/>
              </w:rPr>
              <w:t>I.</w:t>
            </w:r>
            <w:r>
              <w:rPr>
                <w:rFonts w:eastAsiaTheme="minorEastAsia" w:cstheme="minorBidi"/>
                <w:noProof/>
                <w:szCs w:val="22"/>
              </w:rPr>
              <w:tab/>
            </w:r>
            <w:r w:rsidRPr="004E4C5B">
              <w:rPr>
                <w:rStyle w:val="Hyperlink"/>
                <w:noProof/>
              </w:rPr>
              <w:t>Historical Experience (Table 4)</w:t>
            </w:r>
            <w:r>
              <w:rPr>
                <w:noProof/>
                <w:webHidden/>
              </w:rPr>
              <w:tab/>
            </w:r>
            <w:r>
              <w:rPr>
                <w:noProof/>
                <w:webHidden/>
              </w:rPr>
              <w:fldChar w:fldCharType="begin"/>
            </w:r>
            <w:r>
              <w:rPr>
                <w:noProof/>
                <w:webHidden/>
              </w:rPr>
              <w:instrText xml:space="preserve"> PAGEREF _Toc474316434 \h </w:instrText>
            </w:r>
            <w:r>
              <w:rPr>
                <w:noProof/>
                <w:webHidden/>
              </w:rPr>
            </w:r>
            <w:r>
              <w:rPr>
                <w:noProof/>
                <w:webHidden/>
              </w:rPr>
              <w:fldChar w:fldCharType="separate"/>
            </w:r>
            <w:r>
              <w:rPr>
                <w:noProof/>
                <w:webHidden/>
              </w:rPr>
              <w:t>10</w:t>
            </w:r>
            <w:r>
              <w:rPr>
                <w:noProof/>
                <w:webHidden/>
              </w:rPr>
              <w:fldChar w:fldCharType="end"/>
            </w:r>
          </w:hyperlink>
        </w:p>
        <w:p w14:paraId="6555F21B" w14:textId="77777777" w:rsidR="00271157" w:rsidRDefault="00271157">
          <w:pPr>
            <w:pStyle w:val="TOC2"/>
            <w:rPr>
              <w:rFonts w:eastAsiaTheme="minorEastAsia" w:cstheme="minorBidi"/>
              <w:noProof/>
              <w:szCs w:val="22"/>
            </w:rPr>
          </w:pPr>
          <w:hyperlink w:anchor="_Toc474316435" w:history="1">
            <w:r w:rsidRPr="004E4C5B">
              <w:rPr>
                <w:rStyle w:val="Hyperlink"/>
                <w:noProof/>
              </w:rPr>
              <w:t>2.</w:t>
            </w:r>
            <w:r>
              <w:rPr>
                <w:rFonts w:eastAsiaTheme="minorEastAsia" w:cstheme="minorBidi"/>
                <w:noProof/>
                <w:szCs w:val="22"/>
              </w:rPr>
              <w:tab/>
            </w:r>
            <w:r w:rsidRPr="004E4C5B">
              <w:rPr>
                <w:rStyle w:val="Hyperlink"/>
                <w:noProof/>
              </w:rPr>
              <w:t>Rate Development &amp; Change</w:t>
            </w:r>
            <w:r>
              <w:rPr>
                <w:noProof/>
                <w:webHidden/>
              </w:rPr>
              <w:tab/>
            </w:r>
            <w:r>
              <w:rPr>
                <w:noProof/>
                <w:webHidden/>
              </w:rPr>
              <w:fldChar w:fldCharType="begin"/>
            </w:r>
            <w:r>
              <w:rPr>
                <w:noProof/>
                <w:webHidden/>
              </w:rPr>
              <w:instrText xml:space="preserve"> PAGEREF _Toc474316435 \h </w:instrText>
            </w:r>
            <w:r>
              <w:rPr>
                <w:noProof/>
                <w:webHidden/>
              </w:rPr>
            </w:r>
            <w:r>
              <w:rPr>
                <w:noProof/>
                <w:webHidden/>
              </w:rPr>
              <w:fldChar w:fldCharType="separate"/>
            </w:r>
            <w:r>
              <w:rPr>
                <w:noProof/>
                <w:webHidden/>
              </w:rPr>
              <w:t>10</w:t>
            </w:r>
            <w:r>
              <w:rPr>
                <w:noProof/>
                <w:webHidden/>
              </w:rPr>
              <w:fldChar w:fldCharType="end"/>
            </w:r>
          </w:hyperlink>
        </w:p>
        <w:p w14:paraId="2D35DE8F" w14:textId="77777777" w:rsidR="00271157" w:rsidRDefault="00271157">
          <w:pPr>
            <w:pStyle w:val="TOC3"/>
            <w:rPr>
              <w:rFonts w:eastAsiaTheme="minorEastAsia" w:cstheme="minorBidi"/>
              <w:noProof/>
              <w:szCs w:val="22"/>
            </w:rPr>
          </w:pPr>
          <w:hyperlink w:anchor="_Toc474316436" w:history="1">
            <w:r w:rsidRPr="004E4C5B">
              <w:rPr>
                <w:rStyle w:val="Hyperlink"/>
                <w:noProof/>
              </w:rPr>
              <w:t>A.</w:t>
            </w:r>
            <w:r>
              <w:rPr>
                <w:rFonts w:eastAsiaTheme="minorEastAsia" w:cstheme="minorBidi"/>
                <w:noProof/>
                <w:szCs w:val="22"/>
              </w:rPr>
              <w:tab/>
            </w:r>
            <w:r w:rsidRPr="004E4C5B">
              <w:rPr>
                <w:rStyle w:val="Hyperlink"/>
                <w:noProof/>
              </w:rPr>
              <w:t>Projected Index Rate, Market-Adjusted Index Rate, &amp; Total Allowed Claims (Table 5)</w:t>
            </w:r>
            <w:r>
              <w:rPr>
                <w:noProof/>
                <w:webHidden/>
              </w:rPr>
              <w:tab/>
            </w:r>
            <w:r>
              <w:rPr>
                <w:noProof/>
                <w:webHidden/>
              </w:rPr>
              <w:fldChar w:fldCharType="begin"/>
            </w:r>
            <w:r>
              <w:rPr>
                <w:noProof/>
                <w:webHidden/>
              </w:rPr>
              <w:instrText xml:space="preserve"> PAGEREF _Toc474316436 \h </w:instrText>
            </w:r>
            <w:r>
              <w:rPr>
                <w:noProof/>
                <w:webHidden/>
              </w:rPr>
            </w:r>
            <w:r>
              <w:rPr>
                <w:noProof/>
                <w:webHidden/>
              </w:rPr>
              <w:fldChar w:fldCharType="separate"/>
            </w:r>
            <w:r>
              <w:rPr>
                <w:noProof/>
                <w:webHidden/>
              </w:rPr>
              <w:t>10</w:t>
            </w:r>
            <w:r>
              <w:rPr>
                <w:noProof/>
                <w:webHidden/>
              </w:rPr>
              <w:fldChar w:fldCharType="end"/>
            </w:r>
          </w:hyperlink>
        </w:p>
        <w:p w14:paraId="06A7EB3F" w14:textId="77777777" w:rsidR="00271157" w:rsidRDefault="00271157">
          <w:pPr>
            <w:pStyle w:val="TOC3"/>
            <w:rPr>
              <w:rFonts w:eastAsiaTheme="minorEastAsia" w:cstheme="minorBidi"/>
              <w:noProof/>
              <w:szCs w:val="22"/>
            </w:rPr>
          </w:pPr>
          <w:hyperlink w:anchor="_Toc474316437" w:history="1">
            <w:r w:rsidRPr="004E4C5B">
              <w:rPr>
                <w:rStyle w:val="Hyperlink"/>
                <w:noProof/>
              </w:rPr>
              <w:t>B.</w:t>
            </w:r>
            <w:r>
              <w:rPr>
                <w:rFonts w:eastAsiaTheme="minorEastAsia" w:cstheme="minorBidi"/>
                <w:noProof/>
                <w:szCs w:val="22"/>
              </w:rPr>
              <w:tab/>
            </w:r>
            <w:r w:rsidRPr="004E4C5B">
              <w:rPr>
                <w:rStyle w:val="Hyperlink"/>
                <w:noProof/>
              </w:rPr>
              <w:t>Retention Items (Table 6)</w:t>
            </w:r>
            <w:r>
              <w:rPr>
                <w:noProof/>
                <w:webHidden/>
              </w:rPr>
              <w:tab/>
            </w:r>
            <w:r>
              <w:rPr>
                <w:noProof/>
                <w:webHidden/>
              </w:rPr>
              <w:fldChar w:fldCharType="begin"/>
            </w:r>
            <w:r>
              <w:rPr>
                <w:noProof/>
                <w:webHidden/>
              </w:rPr>
              <w:instrText xml:space="preserve"> PAGEREF _Toc474316437 \h </w:instrText>
            </w:r>
            <w:r>
              <w:rPr>
                <w:noProof/>
                <w:webHidden/>
              </w:rPr>
            </w:r>
            <w:r>
              <w:rPr>
                <w:noProof/>
                <w:webHidden/>
              </w:rPr>
              <w:fldChar w:fldCharType="separate"/>
            </w:r>
            <w:r>
              <w:rPr>
                <w:noProof/>
                <w:webHidden/>
              </w:rPr>
              <w:t>11</w:t>
            </w:r>
            <w:r>
              <w:rPr>
                <w:noProof/>
                <w:webHidden/>
              </w:rPr>
              <w:fldChar w:fldCharType="end"/>
            </w:r>
          </w:hyperlink>
        </w:p>
        <w:p w14:paraId="72F87473" w14:textId="77777777" w:rsidR="00271157" w:rsidRDefault="00271157">
          <w:pPr>
            <w:pStyle w:val="TOC3"/>
            <w:rPr>
              <w:rFonts w:eastAsiaTheme="minorEastAsia" w:cstheme="minorBidi"/>
              <w:noProof/>
              <w:szCs w:val="22"/>
            </w:rPr>
          </w:pPr>
          <w:hyperlink w:anchor="_Toc474316438" w:history="1">
            <w:r w:rsidRPr="004E4C5B">
              <w:rPr>
                <w:rStyle w:val="Hyperlink"/>
                <w:noProof/>
              </w:rPr>
              <w:t>C.</w:t>
            </w:r>
            <w:r>
              <w:rPr>
                <w:rFonts w:eastAsiaTheme="minorEastAsia" w:cstheme="minorBidi"/>
                <w:noProof/>
                <w:szCs w:val="22"/>
              </w:rPr>
              <w:tab/>
            </w:r>
            <w:r w:rsidRPr="004E4C5B">
              <w:rPr>
                <w:rStyle w:val="Hyperlink"/>
                <w:noProof/>
              </w:rPr>
              <w:t>Normalized Market-Adjusted Projected Allowed Total Claims (Table 7)</w:t>
            </w:r>
            <w:r>
              <w:rPr>
                <w:noProof/>
                <w:webHidden/>
              </w:rPr>
              <w:tab/>
            </w:r>
            <w:r>
              <w:rPr>
                <w:noProof/>
                <w:webHidden/>
              </w:rPr>
              <w:fldChar w:fldCharType="begin"/>
            </w:r>
            <w:r>
              <w:rPr>
                <w:noProof/>
                <w:webHidden/>
              </w:rPr>
              <w:instrText xml:space="preserve"> PAGEREF _Toc474316438 \h </w:instrText>
            </w:r>
            <w:r>
              <w:rPr>
                <w:noProof/>
                <w:webHidden/>
              </w:rPr>
            </w:r>
            <w:r>
              <w:rPr>
                <w:noProof/>
                <w:webHidden/>
              </w:rPr>
              <w:fldChar w:fldCharType="separate"/>
            </w:r>
            <w:r>
              <w:rPr>
                <w:noProof/>
                <w:webHidden/>
              </w:rPr>
              <w:t>11</w:t>
            </w:r>
            <w:r>
              <w:rPr>
                <w:noProof/>
                <w:webHidden/>
              </w:rPr>
              <w:fldChar w:fldCharType="end"/>
            </w:r>
          </w:hyperlink>
        </w:p>
        <w:p w14:paraId="40985231" w14:textId="77777777" w:rsidR="00271157" w:rsidRDefault="00271157">
          <w:pPr>
            <w:pStyle w:val="TOC3"/>
            <w:rPr>
              <w:rFonts w:eastAsiaTheme="minorEastAsia" w:cstheme="minorBidi"/>
              <w:noProof/>
              <w:szCs w:val="22"/>
            </w:rPr>
          </w:pPr>
          <w:hyperlink w:anchor="_Toc474316439" w:history="1">
            <w:r w:rsidRPr="004E4C5B">
              <w:rPr>
                <w:rStyle w:val="Hyperlink"/>
                <w:noProof/>
              </w:rPr>
              <w:t>D.</w:t>
            </w:r>
            <w:r>
              <w:rPr>
                <w:rFonts w:eastAsiaTheme="minorEastAsia" w:cstheme="minorBidi"/>
                <w:noProof/>
                <w:szCs w:val="22"/>
              </w:rPr>
              <w:tab/>
            </w:r>
            <w:r w:rsidRPr="004E4C5B">
              <w:rPr>
                <w:rStyle w:val="Hyperlink"/>
                <w:noProof/>
              </w:rPr>
              <w:t>Components of Rate Change (Tables 8 and 9)</w:t>
            </w:r>
            <w:r>
              <w:rPr>
                <w:noProof/>
                <w:webHidden/>
              </w:rPr>
              <w:tab/>
            </w:r>
            <w:r>
              <w:rPr>
                <w:noProof/>
                <w:webHidden/>
              </w:rPr>
              <w:fldChar w:fldCharType="begin"/>
            </w:r>
            <w:r>
              <w:rPr>
                <w:noProof/>
                <w:webHidden/>
              </w:rPr>
              <w:instrText xml:space="preserve"> PAGEREF _Toc474316439 \h </w:instrText>
            </w:r>
            <w:r>
              <w:rPr>
                <w:noProof/>
                <w:webHidden/>
              </w:rPr>
            </w:r>
            <w:r>
              <w:rPr>
                <w:noProof/>
                <w:webHidden/>
              </w:rPr>
              <w:fldChar w:fldCharType="separate"/>
            </w:r>
            <w:r>
              <w:rPr>
                <w:noProof/>
                <w:webHidden/>
              </w:rPr>
              <w:t>11</w:t>
            </w:r>
            <w:r>
              <w:rPr>
                <w:noProof/>
                <w:webHidden/>
              </w:rPr>
              <w:fldChar w:fldCharType="end"/>
            </w:r>
          </w:hyperlink>
        </w:p>
        <w:p w14:paraId="2E9609BA" w14:textId="77777777" w:rsidR="00271157" w:rsidRDefault="00271157">
          <w:pPr>
            <w:pStyle w:val="TOC2"/>
            <w:rPr>
              <w:rFonts w:eastAsiaTheme="minorEastAsia" w:cstheme="minorBidi"/>
              <w:noProof/>
              <w:szCs w:val="22"/>
            </w:rPr>
          </w:pPr>
          <w:hyperlink w:anchor="_Toc474316440" w:history="1">
            <w:r w:rsidRPr="004E4C5B">
              <w:rPr>
                <w:rStyle w:val="Hyperlink"/>
                <w:noProof/>
              </w:rPr>
              <w:t>3.</w:t>
            </w:r>
            <w:r>
              <w:rPr>
                <w:rFonts w:eastAsiaTheme="minorEastAsia" w:cstheme="minorBidi"/>
                <w:noProof/>
                <w:szCs w:val="22"/>
              </w:rPr>
              <w:tab/>
            </w:r>
            <w:r w:rsidRPr="004E4C5B">
              <w:rPr>
                <w:rStyle w:val="Hyperlink"/>
                <w:noProof/>
              </w:rPr>
              <w:t>Plan Rate Development (Table 10)</w:t>
            </w:r>
            <w:r>
              <w:rPr>
                <w:noProof/>
                <w:webHidden/>
              </w:rPr>
              <w:tab/>
            </w:r>
            <w:r>
              <w:rPr>
                <w:noProof/>
                <w:webHidden/>
              </w:rPr>
              <w:fldChar w:fldCharType="begin"/>
            </w:r>
            <w:r>
              <w:rPr>
                <w:noProof/>
                <w:webHidden/>
              </w:rPr>
              <w:instrText xml:space="preserve"> PAGEREF _Toc474316440 \h </w:instrText>
            </w:r>
            <w:r>
              <w:rPr>
                <w:noProof/>
                <w:webHidden/>
              </w:rPr>
            </w:r>
            <w:r>
              <w:rPr>
                <w:noProof/>
                <w:webHidden/>
              </w:rPr>
              <w:fldChar w:fldCharType="separate"/>
            </w:r>
            <w:r>
              <w:rPr>
                <w:noProof/>
                <w:webHidden/>
              </w:rPr>
              <w:t>12</w:t>
            </w:r>
            <w:r>
              <w:rPr>
                <w:noProof/>
                <w:webHidden/>
              </w:rPr>
              <w:fldChar w:fldCharType="end"/>
            </w:r>
          </w:hyperlink>
        </w:p>
        <w:p w14:paraId="4CFFFBF0" w14:textId="77777777" w:rsidR="00271157" w:rsidRDefault="00271157">
          <w:pPr>
            <w:pStyle w:val="TOC3"/>
            <w:rPr>
              <w:rFonts w:eastAsiaTheme="minorEastAsia" w:cstheme="minorBidi"/>
              <w:noProof/>
              <w:szCs w:val="22"/>
            </w:rPr>
          </w:pPr>
          <w:hyperlink w:anchor="_Toc474316441" w:history="1">
            <w:r w:rsidRPr="004E4C5B">
              <w:rPr>
                <w:rStyle w:val="Hyperlink"/>
                <w:noProof/>
              </w:rPr>
              <w:t>A.</w:t>
            </w:r>
            <w:r>
              <w:rPr>
                <w:rFonts w:eastAsiaTheme="minorEastAsia" w:cstheme="minorBidi"/>
                <w:noProof/>
                <w:szCs w:val="22"/>
              </w:rPr>
              <w:tab/>
            </w:r>
            <w:r w:rsidRPr="004E4C5B">
              <w:rPr>
                <w:rStyle w:val="Hyperlink"/>
                <w:noProof/>
              </w:rPr>
              <w:t>Instructions for Completing Table 10 of the PA Rate Exhibits</w:t>
            </w:r>
            <w:r>
              <w:rPr>
                <w:noProof/>
                <w:webHidden/>
              </w:rPr>
              <w:tab/>
            </w:r>
            <w:r>
              <w:rPr>
                <w:noProof/>
                <w:webHidden/>
              </w:rPr>
              <w:fldChar w:fldCharType="begin"/>
            </w:r>
            <w:r>
              <w:rPr>
                <w:noProof/>
                <w:webHidden/>
              </w:rPr>
              <w:instrText xml:space="preserve"> PAGEREF _Toc474316441 \h </w:instrText>
            </w:r>
            <w:r>
              <w:rPr>
                <w:noProof/>
                <w:webHidden/>
              </w:rPr>
            </w:r>
            <w:r>
              <w:rPr>
                <w:noProof/>
                <w:webHidden/>
              </w:rPr>
              <w:fldChar w:fldCharType="separate"/>
            </w:r>
            <w:r>
              <w:rPr>
                <w:noProof/>
                <w:webHidden/>
              </w:rPr>
              <w:t>12</w:t>
            </w:r>
            <w:r>
              <w:rPr>
                <w:noProof/>
                <w:webHidden/>
              </w:rPr>
              <w:fldChar w:fldCharType="end"/>
            </w:r>
          </w:hyperlink>
        </w:p>
        <w:p w14:paraId="1370F816" w14:textId="77777777" w:rsidR="00271157" w:rsidRDefault="00271157">
          <w:pPr>
            <w:pStyle w:val="TOC3"/>
            <w:rPr>
              <w:rFonts w:eastAsiaTheme="minorEastAsia" w:cstheme="minorBidi"/>
              <w:noProof/>
              <w:szCs w:val="22"/>
            </w:rPr>
          </w:pPr>
          <w:hyperlink w:anchor="_Toc474316442" w:history="1">
            <w:r w:rsidRPr="004E4C5B">
              <w:rPr>
                <w:rStyle w:val="Hyperlink"/>
                <w:noProof/>
              </w:rPr>
              <w:t>B.</w:t>
            </w:r>
            <w:r>
              <w:rPr>
                <w:rFonts w:eastAsiaTheme="minorEastAsia" w:cstheme="minorBidi"/>
                <w:noProof/>
                <w:szCs w:val="22"/>
              </w:rPr>
              <w:tab/>
            </w:r>
            <w:r w:rsidRPr="004E4C5B">
              <w:rPr>
                <w:rStyle w:val="Hyperlink"/>
                <w:noProof/>
              </w:rPr>
              <w:t>Mapping Scenarios – Individual Market</w:t>
            </w:r>
            <w:r>
              <w:rPr>
                <w:noProof/>
                <w:webHidden/>
              </w:rPr>
              <w:tab/>
            </w:r>
            <w:r>
              <w:rPr>
                <w:noProof/>
                <w:webHidden/>
              </w:rPr>
              <w:fldChar w:fldCharType="begin"/>
            </w:r>
            <w:r>
              <w:rPr>
                <w:noProof/>
                <w:webHidden/>
              </w:rPr>
              <w:instrText xml:space="preserve"> PAGEREF _Toc474316442 \h </w:instrText>
            </w:r>
            <w:r>
              <w:rPr>
                <w:noProof/>
                <w:webHidden/>
              </w:rPr>
            </w:r>
            <w:r>
              <w:rPr>
                <w:noProof/>
                <w:webHidden/>
              </w:rPr>
              <w:fldChar w:fldCharType="separate"/>
            </w:r>
            <w:r>
              <w:rPr>
                <w:noProof/>
                <w:webHidden/>
              </w:rPr>
              <w:t>12</w:t>
            </w:r>
            <w:r>
              <w:rPr>
                <w:noProof/>
                <w:webHidden/>
              </w:rPr>
              <w:fldChar w:fldCharType="end"/>
            </w:r>
          </w:hyperlink>
        </w:p>
        <w:p w14:paraId="6FEA2BEC" w14:textId="77777777" w:rsidR="00271157" w:rsidRDefault="00271157">
          <w:pPr>
            <w:pStyle w:val="TOC3"/>
            <w:rPr>
              <w:rFonts w:eastAsiaTheme="minorEastAsia" w:cstheme="minorBidi"/>
              <w:noProof/>
              <w:szCs w:val="22"/>
            </w:rPr>
          </w:pPr>
          <w:hyperlink w:anchor="_Toc474316443" w:history="1">
            <w:r w:rsidRPr="004E4C5B">
              <w:rPr>
                <w:rStyle w:val="Hyperlink"/>
                <w:noProof/>
              </w:rPr>
              <w:t>C.</w:t>
            </w:r>
            <w:r>
              <w:rPr>
                <w:rFonts w:eastAsiaTheme="minorEastAsia" w:cstheme="minorBidi"/>
                <w:noProof/>
                <w:szCs w:val="22"/>
              </w:rPr>
              <w:tab/>
            </w:r>
            <w:r w:rsidRPr="004E4C5B">
              <w:rPr>
                <w:rStyle w:val="Hyperlink"/>
                <w:noProof/>
              </w:rPr>
              <w:t>Mapping Scenarios – Small Group Market</w:t>
            </w:r>
            <w:r>
              <w:rPr>
                <w:noProof/>
                <w:webHidden/>
              </w:rPr>
              <w:tab/>
            </w:r>
            <w:r>
              <w:rPr>
                <w:noProof/>
                <w:webHidden/>
              </w:rPr>
              <w:fldChar w:fldCharType="begin"/>
            </w:r>
            <w:r>
              <w:rPr>
                <w:noProof/>
                <w:webHidden/>
              </w:rPr>
              <w:instrText xml:space="preserve"> PAGEREF _Toc474316443 \h </w:instrText>
            </w:r>
            <w:r>
              <w:rPr>
                <w:noProof/>
                <w:webHidden/>
              </w:rPr>
            </w:r>
            <w:r>
              <w:rPr>
                <w:noProof/>
                <w:webHidden/>
              </w:rPr>
              <w:fldChar w:fldCharType="separate"/>
            </w:r>
            <w:r>
              <w:rPr>
                <w:noProof/>
                <w:webHidden/>
              </w:rPr>
              <w:t>13</w:t>
            </w:r>
            <w:r>
              <w:rPr>
                <w:noProof/>
                <w:webHidden/>
              </w:rPr>
              <w:fldChar w:fldCharType="end"/>
            </w:r>
          </w:hyperlink>
        </w:p>
        <w:p w14:paraId="05A3E4F7" w14:textId="77777777" w:rsidR="00271157" w:rsidRDefault="00271157">
          <w:pPr>
            <w:pStyle w:val="TOC3"/>
            <w:rPr>
              <w:rFonts w:eastAsiaTheme="minorEastAsia" w:cstheme="minorBidi"/>
              <w:noProof/>
              <w:szCs w:val="22"/>
            </w:rPr>
          </w:pPr>
          <w:hyperlink w:anchor="_Toc474316444" w:history="1">
            <w:r w:rsidRPr="004E4C5B">
              <w:rPr>
                <w:rStyle w:val="Hyperlink"/>
                <w:noProof/>
              </w:rPr>
              <w:t>D.</w:t>
            </w:r>
            <w:r>
              <w:rPr>
                <w:rFonts w:eastAsiaTheme="minorEastAsia" w:cstheme="minorBidi"/>
                <w:noProof/>
                <w:szCs w:val="22"/>
              </w:rPr>
              <w:tab/>
            </w:r>
            <w:r w:rsidRPr="004E4C5B">
              <w:rPr>
                <w:rStyle w:val="Hyperlink"/>
                <w:noProof/>
              </w:rPr>
              <w:t>General Instructions – Individual and Small Group Market</w:t>
            </w:r>
            <w:r>
              <w:rPr>
                <w:noProof/>
                <w:webHidden/>
              </w:rPr>
              <w:tab/>
            </w:r>
            <w:r>
              <w:rPr>
                <w:noProof/>
                <w:webHidden/>
              </w:rPr>
              <w:fldChar w:fldCharType="begin"/>
            </w:r>
            <w:r>
              <w:rPr>
                <w:noProof/>
                <w:webHidden/>
              </w:rPr>
              <w:instrText xml:space="preserve"> PAGEREF _Toc474316444 \h </w:instrText>
            </w:r>
            <w:r>
              <w:rPr>
                <w:noProof/>
                <w:webHidden/>
              </w:rPr>
            </w:r>
            <w:r>
              <w:rPr>
                <w:noProof/>
                <w:webHidden/>
              </w:rPr>
              <w:fldChar w:fldCharType="separate"/>
            </w:r>
            <w:r>
              <w:rPr>
                <w:noProof/>
                <w:webHidden/>
              </w:rPr>
              <w:t>13</w:t>
            </w:r>
            <w:r>
              <w:rPr>
                <w:noProof/>
                <w:webHidden/>
              </w:rPr>
              <w:fldChar w:fldCharType="end"/>
            </w:r>
          </w:hyperlink>
        </w:p>
        <w:p w14:paraId="7B937E51" w14:textId="77777777" w:rsidR="00271157" w:rsidRDefault="00271157">
          <w:pPr>
            <w:pStyle w:val="TOC2"/>
            <w:rPr>
              <w:rFonts w:eastAsiaTheme="minorEastAsia" w:cstheme="minorBidi"/>
              <w:noProof/>
              <w:szCs w:val="22"/>
            </w:rPr>
          </w:pPr>
          <w:hyperlink w:anchor="_Toc474316445" w:history="1">
            <w:r w:rsidRPr="004E4C5B">
              <w:rPr>
                <w:rStyle w:val="Hyperlink"/>
                <w:noProof/>
              </w:rPr>
              <w:t>4.</w:t>
            </w:r>
            <w:r>
              <w:rPr>
                <w:rFonts w:eastAsiaTheme="minorEastAsia" w:cstheme="minorBidi"/>
                <w:noProof/>
                <w:szCs w:val="22"/>
              </w:rPr>
              <w:tab/>
            </w:r>
            <w:r w:rsidRPr="004E4C5B">
              <w:rPr>
                <w:rStyle w:val="Hyperlink"/>
                <w:noProof/>
              </w:rPr>
              <w:t>Plan Premium Development for 21-Year-Old Non-Tobacco User (Table 11)</w:t>
            </w:r>
            <w:r>
              <w:rPr>
                <w:noProof/>
                <w:webHidden/>
              </w:rPr>
              <w:tab/>
            </w:r>
            <w:r>
              <w:rPr>
                <w:noProof/>
                <w:webHidden/>
              </w:rPr>
              <w:fldChar w:fldCharType="begin"/>
            </w:r>
            <w:r>
              <w:rPr>
                <w:noProof/>
                <w:webHidden/>
              </w:rPr>
              <w:instrText xml:space="preserve"> PAGEREF _Toc474316445 \h </w:instrText>
            </w:r>
            <w:r>
              <w:rPr>
                <w:noProof/>
                <w:webHidden/>
              </w:rPr>
            </w:r>
            <w:r>
              <w:rPr>
                <w:noProof/>
                <w:webHidden/>
              </w:rPr>
              <w:fldChar w:fldCharType="separate"/>
            </w:r>
            <w:r>
              <w:rPr>
                <w:noProof/>
                <w:webHidden/>
              </w:rPr>
              <w:t>15</w:t>
            </w:r>
            <w:r>
              <w:rPr>
                <w:noProof/>
                <w:webHidden/>
              </w:rPr>
              <w:fldChar w:fldCharType="end"/>
            </w:r>
          </w:hyperlink>
        </w:p>
        <w:p w14:paraId="6461D82B" w14:textId="77777777" w:rsidR="00271157" w:rsidRDefault="00271157">
          <w:pPr>
            <w:pStyle w:val="TOC2"/>
            <w:rPr>
              <w:rFonts w:eastAsiaTheme="minorEastAsia" w:cstheme="minorBidi"/>
              <w:noProof/>
              <w:szCs w:val="22"/>
            </w:rPr>
          </w:pPr>
          <w:hyperlink w:anchor="_Toc474316446" w:history="1">
            <w:r w:rsidRPr="004E4C5B">
              <w:rPr>
                <w:rStyle w:val="Hyperlink"/>
                <w:noProof/>
              </w:rPr>
              <w:t>5.</w:t>
            </w:r>
            <w:r>
              <w:rPr>
                <w:rFonts w:eastAsiaTheme="minorEastAsia" w:cstheme="minorBidi"/>
                <w:noProof/>
                <w:szCs w:val="22"/>
              </w:rPr>
              <w:tab/>
            </w:r>
            <w:r w:rsidRPr="004E4C5B">
              <w:rPr>
                <w:rStyle w:val="Hyperlink"/>
                <w:noProof/>
              </w:rPr>
              <w:t>Plan Factors</w:t>
            </w:r>
            <w:r>
              <w:rPr>
                <w:noProof/>
                <w:webHidden/>
              </w:rPr>
              <w:tab/>
            </w:r>
            <w:r>
              <w:rPr>
                <w:noProof/>
                <w:webHidden/>
              </w:rPr>
              <w:fldChar w:fldCharType="begin"/>
            </w:r>
            <w:r>
              <w:rPr>
                <w:noProof/>
                <w:webHidden/>
              </w:rPr>
              <w:instrText xml:space="preserve"> PAGEREF _Toc474316446 \h </w:instrText>
            </w:r>
            <w:r>
              <w:rPr>
                <w:noProof/>
                <w:webHidden/>
              </w:rPr>
            </w:r>
            <w:r>
              <w:rPr>
                <w:noProof/>
                <w:webHidden/>
              </w:rPr>
              <w:fldChar w:fldCharType="separate"/>
            </w:r>
            <w:r>
              <w:rPr>
                <w:noProof/>
                <w:webHidden/>
              </w:rPr>
              <w:t>15</w:t>
            </w:r>
            <w:r>
              <w:rPr>
                <w:noProof/>
                <w:webHidden/>
              </w:rPr>
              <w:fldChar w:fldCharType="end"/>
            </w:r>
          </w:hyperlink>
        </w:p>
        <w:p w14:paraId="18AED572" w14:textId="77777777" w:rsidR="00271157" w:rsidRDefault="00271157">
          <w:pPr>
            <w:pStyle w:val="TOC3"/>
            <w:rPr>
              <w:rFonts w:eastAsiaTheme="minorEastAsia" w:cstheme="minorBidi"/>
              <w:noProof/>
              <w:szCs w:val="22"/>
            </w:rPr>
          </w:pPr>
          <w:hyperlink w:anchor="_Toc474316447" w:history="1">
            <w:r w:rsidRPr="004E4C5B">
              <w:rPr>
                <w:rStyle w:val="Hyperlink"/>
                <w:noProof/>
              </w:rPr>
              <w:t>A.</w:t>
            </w:r>
            <w:r>
              <w:rPr>
                <w:rFonts w:eastAsiaTheme="minorEastAsia" w:cstheme="minorBidi"/>
                <w:noProof/>
                <w:szCs w:val="22"/>
              </w:rPr>
              <w:tab/>
            </w:r>
            <w:r w:rsidRPr="004E4C5B">
              <w:rPr>
                <w:rStyle w:val="Hyperlink"/>
                <w:noProof/>
              </w:rPr>
              <w:t>Age and Tobacco Factors (Table 12)</w:t>
            </w:r>
            <w:r>
              <w:rPr>
                <w:noProof/>
                <w:webHidden/>
              </w:rPr>
              <w:tab/>
            </w:r>
            <w:r>
              <w:rPr>
                <w:noProof/>
                <w:webHidden/>
              </w:rPr>
              <w:fldChar w:fldCharType="begin"/>
            </w:r>
            <w:r>
              <w:rPr>
                <w:noProof/>
                <w:webHidden/>
              </w:rPr>
              <w:instrText xml:space="preserve"> PAGEREF _Toc474316447 \h </w:instrText>
            </w:r>
            <w:r>
              <w:rPr>
                <w:noProof/>
                <w:webHidden/>
              </w:rPr>
            </w:r>
            <w:r>
              <w:rPr>
                <w:noProof/>
                <w:webHidden/>
              </w:rPr>
              <w:fldChar w:fldCharType="separate"/>
            </w:r>
            <w:r>
              <w:rPr>
                <w:noProof/>
                <w:webHidden/>
              </w:rPr>
              <w:t>15</w:t>
            </w:r>
            <w:r>
              <w:rPr>
                <w:noProof/>
                <w:webHidden/>
              </w:rPr>
              <w:fldChar w:fldCharType="end"/>
            </w:r>
          </w:hyperlink>
        </w:p>
        <w:p w14:paraId="063F3881" w14:textId="77777777" w:rsidR="00271157" w:rsidRDefault="00271157">
          <w:pPr>
            <w:pStyle w:val="TOC3"/>
            <w:rPr>
              <w:rFonts w:eastAsiaTheme="minorEastAsia" w:cstheme="minorBidi"/>
              <w:noProof/>
              <w:szCs w:val="22"/>
            </w:rPr>
          </w:pPr>
          <w:hyperlink w:anchor="_Toc474316448" w:history="1">
            <w:r w:rsidRPr="004E4C5B">
              <w:rPr>
                <w:rStyle w:val="Hyperlink"/>
                <w:noProof/>
              </w:rPr>
              <w:t>B.</w:t>
            </w:r>
            <w:r>
              <w:rPr>
                <w:rFonts w:eastAsiaTheme="minorEastAsia" w:cstheme="minorBidi"/>
                <w:noProof/>
                <w:szCs w:val="22"/>
              </w:rPr>
              <w:tab/>
            </w:r>
            <w:r w:rsidRPr="004E4C5B">
              <w:rPr>
                <w:rStyle w:val="Hyperlink"/>
                <w:noProof/>
              </w:rPr>
              <w:t>Geographic Factors (Table 13)</w:t>
            </w:r>
            <w:r>
              <w:rPr>
                <w:noProof/>
                <w:webHidden/>
              </w:rPr>
              <w:tab/>
            </w:r>
            <w:r>
              <w:rPr>
                <w:noProof/>
                <w:webHidden/>
              </w:rPr>
              <w:fldChar w:fldCharType="begin"/>
            </w:r>
            <w:r>
              <w:rPr>
                <w:noProof/>
                <w:webHidden/>
              </w:rPr>
              <w:instrText xml:space="preserve"> PAGEREF _Toc474316448 \h </w:instrText>
            </w:r>
            <w:r>
              <w:rPr>
                <w:noProof/>
                <w:webHidden/>
              </w:rPr>
            </w:r>
            <w:r>
              <w:rPr>
                <w:noProof/>
                <w:webHidden/>
              </w:rPr>
              <w:fldChar w:fldCharType="separate"/>
            </w:r>
            <w:r>
              <w:rPr>
                <w:noProof/>
                <w:webHidden/>
              </w:rPr>
              <w:t>15</w:t>
            </w:r>
            <w:r>
              <w:rPr>
                <w:noProof/>
                <w:webHidden/>
              </w:rPr>
              <w:fldChar w:fldCharType="end"/>
            </w:r>
          </w:hyperlink>
        </w:p>
        <w:p w14:paraId="42676848" w14:textId="77777777" w:rsidR="00271157" w:rsidRDefault="00271157">
          <w:pPr>
            <w:pStyle w:val="TOC3"/>
            <w:rPr>
              <w:rFonts w:eastAsiaTheme="minorEastAsia" w:cstheme="minorBidi"/>
              <w:noProof/>
              <w:szCs w:val="22"/>
            </w:rPr>
          </w:pPr>
          <w:hyperlink w:anchor="_Toc474316449" w:history="1">
            <w:r w:rsidRPr="004E4C5B">
              <w:rPr>
                <w:rStyle w:val="Hyperlink"/>
                <w:noProof/>
              </w:rPr>
              <w:t>C.</w:t>
            </w:r>
            <w:r>
              <w:rPr>
                <w:rFonts w:eastAsiaTheme="minorEastAsia" w:cstheme="minorBidi"/>
                <w:noProof/>
                <w:szCs w:val="22"/>
              </w:rPr>
              <w:tab/>
            </w:r>
            <w:r w:rsidRPr="004E4C5B">
              <w:rPr>
                <w:rStyle w:val="Hyperlink"/>
                <w:noProof/>
              </w:rPr>
              <w:t>Network Factors (Table 14)</w:t>
            </w:r>
            <w:r>
              <w:rPr>
                <w:noProof/>
                <w:webHidden/>
              </w:rPr>
              <w:tab/>
            </w:r>
            <w:r>
              <w:rPr>
                <w:noProof/>
                <w:webHidden/>
              </w:rPr>
              <w:fldChar w:fldCharType="begin"/>
            </w:r>
            <w:r>
              <w:rPr>
                <w:noProof/>
                <w:webHidden/>
              </w:rPr>
              <w:instrText xml:space="preserve"> PAGEREF _Toc474316449 \h </w:instrText>
            </w:r>
            <w:r>
              <w:rPr>
                <w:noProof/>
                <w:webHidden/>
              </w:rPr>
            </w:r>
            <w:r>
              <w:rPr>
                <w:noProof/>
                <w:webHidden/>
              </w:rPr>
              <w:fldChar w:fldCharType="separate"/>
            </w:r>
            <w:r>
              <w:rPr>
                <w:noProof/>
                <w:webHidden/>
              </w:rPr>
              <w:t>16</w:t>
            </w:r>
            <w:r>
              <w:rPr>
                <w:noProof/>
                <w:webHidden/>
              </w:rPr>
              <w:fldChar w:fldCharType="end"/>
            </w:r>
          </w:hyperlink>
        </w:p>
        <w:p w14:paraId="14186D92" w14:textId="77777777" w:rsidR="00271157" w:rsidRDefault="00271157">
          <w:pPr>
            <w:pStyle w:val="TOC3"/>
            <w:rPr>
              <w:rFonts w:eastAsiaTheme="minorEastAsia" w:cstheme="minorBidi"/>
              <w:noProof/>
              <w:szCs w:val="22"/>
            </w:rPr>
          </w:pPr>
          <w:hyperlink w:anchor="_Toc474316450" w:history="1">
            <w:r w:rsidRPr="004E4C5B">
              <w:rPr>
                <w:rStyle w:val="Hyperlink"/>
                <w:noProof/>
              </w:rPr>
              <w:t>D.</w:t>
            </w:r>
            <w:r>
              <w:rPr>
                <w:rFonts w:eastAsiaTheme="minorEastAsia" w:cstheme="minorBidi"/>
                <w:noProof/>
                <w:szCs w:val="22"/>
              </w:rPr>
              <w:tab/>
            </w:r>
            <w:r w:rsidRPr="004E4C5B">
              <w:rPr>
                <w:rStyle w:val="Hyperlink"/>
                <w:noProof/>
              </w:rPr>
              <w:t>Service Area Composition</w:t>
            </w:r>
            <w:r>
              <w:rPr>
                <w:noProof/>
                <w:webHidden/>
              </w:rPr>
              <w:tab/>
            </w:r>
            <w:r>
              <w:rPr>
                <w:noProof/>
                <w:webHidden/>
              </w:rPr>
              <w:fldChar w:fldCharType="begin"/>
            </w:r>
            <w:r>
              <w:rPr>
                <w:noProof/>
                <w:webHidden/>
              </w:rPr>
              <w:instrText xml:space="preserve"> PAGEREF _Toc474316450 \h </w:instrText>
            </w:r>
            <w:r>
              <w:rPr>
                <w:noProof/>
                <w:webHidden/>
              </w:rPr>
            </w:r>
            <w:r>
              <w:rPr>
                <w:noProof/>
                <w:webHidden/>
              </w:rPr>
              <w:fldChar w:fldCharType="separate"/>
            </w:r>
            <w:r>
              <w:rPr>
                <w:noProof/>
                <w:webHidden/>
              </w:rPr>
              <w:t>16</w:t>
            </w:r>
            <w:r>
              <w:rPr>
                <w:noProof/>
                <w:webHidden/>
              </w:rPr>
              <w:fldChar w:fldCharType="end"/>
            </w:r>
          </w:hyperlink>
        </w:p>
        <w:p w14:paraId="08304499" w14:textId="77777777" w:rsidR="00271157" w:rsidRDefault="00271157">
          <w:pPr>
            <w:pStyle w:val="TOC3"/>
            <w:rPr>
              <w:rFonts w:eastAsiaTheme="minorEastAsia" w:cstheme="minorBidi"/>
              <w:noProof/>
              <w:szCs w:val="22"/>
            </w:rPr>
          </w:pPr>
          <w:hyperlink w:anchor="_Toc474316451" w:history="1">
            <w:r w:rsidRPr="004E4C5B">
              <w:rPr>
                <w:rStyle w:val="Hyperlink"/>
                <w:noProof/>
              </w:rPr>
              <w:t>E.</w:t>
            </w:r>
            <w:r>
              <w:rPr>
                <w:rFonts w:eastAsiaTheme="minorEastAsia" w:cstheme="minorBidi"/>
                <w:noProof/>
                <w:szCs w:val="22"/>
              </w:rPr>
              <w:tab/>
            </w:r>
            <w:r w:rsidRPr="004E4C5B">
              <w:rPr>
                <w:rStyle w:val="Hyperlink"/>
                <w:noProof/>
              </w:rPr>
              <w:t>Composite Rating</w:t>
            </w:r>
            <w:r>
              <w:rPr>
                <w:noProof/>
                <w:webHidden/>
              </w:rPr>
              <w:tab/>
            </w:r>
            <w:r>
              <w:rPr>
                <w:noProof/>
                <w:webHidden/>
              </w:rPr>
              <w:fldChar w:fldCharType="begin"/>
            </w:r>
            <w:r>
              <w:rPr>
                <w:noProof/>
                <w:webHidden/>
              </w:rPr>
              <w:instrText xml:space="preserve"> PAGEREF _Toc474316451 \h </w:instrText>
            </w:r>
            <w:r>
              <w:rPr>
                <w:noProof/>
                <w:webHidden/>
              </w:rPr>
            </w:r>
            <w:r>
              <w:rPr>
                <w:noProof/>
                <w:webHidden/>
              </w:rPr>
              <w:fldChar w:fldCharType="separate"/>
            </w:r>
            <w:r>
              <w:rPr>
                <w:noProof/>
                <w:webHidden/>
              </w:rPr>
              <w:t>16</w:t>
            </w:r>
            <w:r>
              <w:rPr>
                <w:noProof/>
                <w:webHidden/>
              </w:rPr>
              <w:fldChar w:fldCharType="end"/>
            </w:r>
          </w:hyperlink>
        </w:p>
        <w:p w14:paraId="3EC44ACB" w14:textId="77777777" w:rsidR="00271157" w:rsidRDefault="00271157">
          <w:pPr>
            <w:pStyle w:val="TOC2"/>
            <w:rPr>
              <w:rFonts w:eastAsiaTheme="minorEastAsia" w:cstheme="minorBidi"/>
              <w:noProof/>
              <w:szCs w:val="22"/>
            </w:rPr>
          </w:pPr>
          <w:hyperlink w:anchor="_Toc474316452" w:history="1">
            <w:r w:rsidRPr="004E4C5B">
              <w:rPr>
                <w:rStyle w:val="Hyperlink"/>
                <w:noProof/>
              </w:rPr>
              <w:t>6.</w:t>
            </w:r>
            <w:r>
              <w:rPr>
                <w:rFonts w:eastAsiaTheme="minorEastAsia" w:cstheme="minorBidi"/>
                <w:noProof/>
                <w:szCs w:val="22"/>
              </w:rPr>
              <w:tab/>
            </w:r>
            <w:r w:rsidRPr="004E4C5B">
              <w:rPr>
                <w:rStyle w:val="Hyperlink"/>
                <w:noProof/>
              </w:rPr>
              <w:t>Actuarial Certifications</w:t>
            </w:r>
            <w:r>
              <w:rPr>
                <w:noProof/>
                <w:webHidden/>
              </w:rPr>
              <w:tab/>
            </w:r>
            <w:r>
              <w:rPr>
                <w:noProof/>
                <w:webHidden/>
              </w:rPr>
              <w:fldChar w:fldCharType="begin"/>
            </w:r>
            <w:r>
              <w:rPr>
                <w:noProof/>
                <w:webHidden/>
              </w:rPr>
              <w:instrText xml:space="preserve"> PAGEREF _Toc474316452 \h </w:instrText>
            </w:r>
            <w:r>
              <w:rPr>
                <w:noProof/>
                <w:webHidden/>
              </w:rPr>
            </w:r>
            <w:r>
              <w:rPr>
                <w:noProof/>
                <w:webHidden/>
              </w:rPr>
              <w:fldChar w:fldCharType="separate"/>
            </w:r>
            <w:r>
              <w:rPr>
                <w:noProof/>
                <w:webHidden/>
              </w:rPr>
              <w:t>16</w:t>
            </w:r>
            <w:r>
              <w:rPr>
                <w:noProof/>
                <w:webHidden/>
              </w:rPr>
              <w:fldChar w:fldCharType="end"/>
            </w:r>
          </w:hyperlink>
        </w:p>
        <w:p w14:paraId="0B7623D8" w14:textId="77777777" w:rsidR="00271157" w:rsidRDefault="00271157">
          <w:pPr>
            <w:pStyle w:val="TOC1"/>
            <w:rPr>
              <w:rFonts w:asciiTheme="minorHAnsi" w:eastAsiaTheme="minorEastAsia" w:hAnsiTheme="minorHAnsi" w:cstheme="minorBidi"/>
              <w:noProof/>
              <w:szCs w:val="22"/>
            </w:rPr>
          </w:pPr>
          <w:hyperlink w:anchor="_Toc474316453" w:history="1">
            <w:r w:rsidRPr="004E4C5B">
              <w:rPr>
                <w:rStyle w:val="Hyperlink"/>
                <w:noProof/>
              </w:rPr>
              <w:t>E.</w:t>
            </w:r>
            <w:r>
              <w:rPr>
                <w:rFonts w:asciiTheme="minorHAnsi" w:eastAsiaTheme="minorEastAsia" w:hAnsiTheme="minorHAnsi" w:cstheme="minorBidi"/>
                <w:noProof/>
                <w:szCs w:val="22"/>
              </w:rPr>
              <w:tab/>
            </w:r>
            <w:r w:rsidRPr="004E4C5B">
              <w:rPr>
                <w:rStyle w:val="Hyperlink"/>
                <w:noProof/>
              </w:rPr>
              <w:t>Additional Exhibits</w:t>
            </w:r>
            <w:r>
              <w:rPr>
                <w:noProof/>
                <w:webHidden/>
              </w:rPr>
              <w:tab/>
            </w:r>
            <w:r>
              <w:rPr>
                <w:noProof/>
                <w:webHidden/>
              </w:rPr>
              <w:fldChar w:fldCharType="begin"/>
            </w:r>
            <w:r>
              <w:rPr>
                <w:noProof/>
                <w:webHidden/>
              </w:rPr>
              <w:instrText xml:space="preserve"> PAGEREF _Toc474316453 \h </w:instrText>
            </w:r>
            <w:r>
              <w:rPr>
                <w:noProof/>
                <w:webHidden/>
              </w:rPr>
            </w:r>
            <w:r>
              <w:rPr>
                <w:noProof/>
                <w:webHidden/>
              </w:rPr>
              <w:fldChar w:fldCharType="separate"/>
            </w:r>
            <w:r>
              <w:rPr>
                <w:noProof/>
                <w:webHidden/>
              </w:rPr>
              <w:t>16</w:t>
            </w:r>
            <w:r>
              <w:rPr>
                <w:noProof/>
                <w:webHidden/>
              </w:rPr>
              <w:fldChar w:fldCharType="end"/>
            </w:r>
          </w:hyperlink>
        </w:p>
        <w:p w14:paraId="4E49BDA1" w14:textId="77777777" w:rsidR="00271157" w:rsidRDefault="00271157">
          <w:pPr>
            <w:pStyle w:val="TOC2"/>
            <w:rPr>
              <w:rFonts w:eastAsiaTheme="minorEastAsia" w:cstheme="minorBidi"/>
              <w:noProof/>
              <w:szCs w:val="22"/>
            </w:rPr>
          </w:pPr>
          <w:hyperlink w:anchor="_Toc474316454" w:history="1">
            <w:r w:rsidRPr="004E4C5B">
              <w:rPr>
                <w:rStyle w:val="Hyperlink"/>
                <w:noProof/>
              </w:rPr>
              <w:t>1.</w:t>
            </w:r>
            <w:r>
              <w:rPr>
                <w:rFonts w:eastAsiaTheme="minorEastAsia" w:cstheme="minorBidi"/>
                <w:noProof/>
                <w:szCs w:val="22"/>
              </w:rPr>
              <w:tab/>
            </w:r>
            <w:r w:rsidRPr="004E4C5B">
              <w:rPr>
                <w:rStyle w:val="Hyperlink"/>
                <w:noProof/>
              </w:rPr>
              <w:t>Department Plan Design Summary</w:t>
            </w:r>
            <w:r>
              <w:rPr>
                <w:noProof/>
                <w:webHidden/>
              </w:rPr>
              <w:tab/>
            </w:r>
            <w:r>
              <w:rPr>
                <w:noProof/>
                <w:webHidden/>
              </w:rPr>
              <w:fldChar w:fldCharType="begin"/>
            </w:r>
            <w:r>
              <w:rPr>
                <w:noProof/>
                <w:webHidden/>
              </w:rPr>
              <w:instrText xml:space="preserve"> PAGEREF _Toc474316454 \h </w:instrText>
            </w:r>
            <w:r>
              <w:rPr>
                <w:noProof/>
                <w:webHidden/>
              </w:rPr>
            </w:r>
            <w:r>
              <w:rPr>
                <w:noProof/>
                <w:webHidden/>
              </w:rPr>
              <w:fldChar w:fldCharType="separate"/>
            </w:r>
            <w:r>
              <w:rPr>
                <w:noProof/>
                <w:webHidden/>
              </w:rPr>
              <w:t>16</w:t>
            </w:r>
            <w:r>
              <w:rPr>
                <w:noProof/>
                <w:webHidden/>
              </w:rPr>
              <w:fldChar w:fldCharType="end"/>
            </w:r>
          </w:hyperlink>
        </w:p>
        <w:p w14:paraId="7DFCB11C" w14:textId="77777777" w:rsidR="00271157" w:rsidRDefault="00271157">
          <w:pPr>
            <w:pStyle w:val="TOC2"/>
            <w:rPr>
              <w:rFonts w:eastAsiaTheme="minorEastAsia" w:cstheme="minorBidi"/>
              <w:noProof/>
              <w:szCs w:val="22"/>
            </w:rPr>
          </w:pPr>
          <w:hyperlink w:anchor="_Toc474316455" w:history="1">
            <w:r w:rsidRPr="004E4C5B">
              <w:rPr>
                <w:rStyle w:val="Hyperlink"/>
                <w:noProof/>
              </w:rPr>
              <w:t>2.</w:t>
            </w:r>
            <w:r>
              <w:rPr>
                <w:rFonts w:eastAsiaTheme="minorEastAsia" w:cstheme="minorBidi"/>
                <w:noProof/>
                <w:szCs w:val="22"/>
              </w:rPr>
              <w:tab/>
            </w:r>
            <w:r w:rsidRPr="004E4C5B">
              <w:rPr>
                <w:rStyle w:val="Hyperlink"/>
                <w:noProof/>
              </w:rPr>
              <w:t>Service Area Map</w:t>
            </w:r>
            <w:r>
              <w:rPr>
                <w:noProof/>
                <w:webHidden/>
              </w:rPr>
              <w:tab/>
            </w:r>
            <w:r>
              <w:rPr>
                <w:noProof/>
                <w:webHidden/>
              </w:rPr>
              <w:fldChar w:fldCharType="begin"/>
            </w:r>
            <w:r>
              <w:rPr>
                <w:noProof/>
                <w:webHidden/>
              </w:rPr>
              <w:instrText xml:space="preserve"> PAGEREF _Toc474316455 \h </w:instrText>
            </w:r>
            <w:r>
              <w:rPr>
                <w:noProof/>
                <w:webHidden/>
              </w:rPr>
            </w:r>
            <w:r>
              <w:rPr>
                <w:noProof/>
                <w:webHidden/>
              </w:rPr>
              <w:fldChar w:fldCharType="separate"/>
            </w:r>
            <w:r>
              <w:rPr>
                <w:noProof/>
                <w:webHidden/>
              </w:rPr>
              <w:t>16</w:t>
            </w:r>
            <w:r>
              <w:rPr>
                <w:noProof/>
                <w:webHidden/>
              </w:rPr>
              <w:fldChar w:fldCharType="end"/>
            </w:r>
          </w:hyperlink>
        </w:p>
        <w:p w14:paraId="62238764" w14:textId="77777777" w:rsidR="00271157" w:rsidRDefault="00271157">
          <w:pPr>
            <w:pStyle w:val="TOC1"/>
            <w:rPr>
              <w:rFonts w:asciiTheme="minorHAnsi" w:eastAsiaTheme="minorEastAsia" w:hAnsiTheme="minorHAnsi" w:cstheme="minorBidi"/>
              <w:noProof/>
              <w:szCs w:val="22"/>
            </w:rPr>
          </w:pPr>
          <w:hyperlink w:anchor="_Toc474316456" w:history="1">
            <w:r w:rsidRPr="004E4C5B">
              <w:rPr>
                <w:rStyle w:val="Hyperlink"/>
                <w:noProof/>
              </w:rPr>
              <w:t>Attachment 1: Rate Change Request Summary</w:t>
            </w:r>
            <w:r>
              <w:rPr>
                <w:noProof/>
                <w:webHidden/>
              </w:rPr>
              <w:tab/>
            </w:r>
            <w:r>
              <w:rPr>
                <w:noProof/>
                <w:webHidden/>
              </w:rPr>
              <w:fldChar w:fldCharType="begin"/>
            </w:r>
            <w:r>
              <w:rPr>
                <w:noProof/>
                <w:webHidden/>
              </w:rPr>
              <w:instrText xml:space="preserve"> PAGEREF _Toc474316456 \h </w:instrText>
            </w:r>
            <w:r>
              <w:rPr>
                <w:noProof/>
                <w:webHidden/>
              </w:rPr>
            </w:r>
            <w:r>
              <w:rPr>
                <w:noProof/>
                <w:webHidden/>
              </w:rPr>
              <w:fldChar w:fldCharType="separate"/>
            </w:r>
            <w:r>
              <w:rPr>
                <w:noProof/>
                <w:webHidden/>
              </w:rPr>
              <w:t>17</w:t>
            </w:r>
            <w:r>
              <w:rPr>
                <w:noProof/>
                <w:webHidden/>
              </w:rPr>
              <w:fldChar w:fldCharType="end"/>
            </w:r>
          </w:hyperlink>
        </w:p>
        <w:p w14:paraId="080DE9DD" w14:textId="77777777" w:rsidR="00271157" w:rsidRDefault="00271157">
          <w:pPr>
            <w:pStyle w:val="TOC1"/>
            <w:rPr>
              <w:rFonts w:asciiTheme="minorHAnsi" w:eastAsiaTheme="minorEastAsia" w:hAnsiTheme="minorHAnsi" w:cstheme="minorBidi"/>
              <w:noProof/>
              <w:szCs w:val="22"/>
            </w:rPr>
          </w:pPr>
          <w:hyperlink w:anchor="_Toc474316457" w:history="1">
            <w:r w:rsidRPr="004E4C5B">
              <w:rPr>
                <w:rStyle w:val="Hyperlink"/>
                <w:noProof/>
              </w:rPr>
              <w:t>Attachment 2:  Common Data Call Questions Related to  2017 ACA-Compliant Rate Submissions</w:t>
            </w:r>
            <w:r>
              <w:rPr>
                <w:noProof/>
                <w:webHidden/>
              </w:rPr>
              <w:tab/>
            </w:r>
            <w:r>
              <w:rPr>
                <w:noProof/>
                <w:webHidden/>
              </w:rPr>
              <w:fldChar w:fldCharType="begin"/>
            </w:r>
            <w:r>
              <w:rPr>
                <w:noProof/>
                <w:webHidden/>
              </w:rPr>
              <w:instrText xml:space="preserve"> PAGEREF _Toc474316457 \h </w:instrText>
            </w:r>
            <w:r>
              <w:rPr>
                <w:noProof/>
                <w:webHidden/>
              </w:rPr>
            </w:r>
            <w:r>
              <w:rPr>
                <w:noProof/>
                <w:webHidden/>
              </w:rPr>
              <w:fldChar w:fldCharType="separate"/>
            </w:r>
            <w:r>
              <w:rPr>
                <w:noProof/>
                <w:webHidden/>
              </w:rPr>
              <w:t>18</w:t>
            </w:r>
            <w:r>
              <w:rPr>
                <w:noProof/>
                <w:webHidden/>
              </w:rPr>
              <w:fldChar w:fldCharType="end"/>
            </w:r>
          </w:hyperlink>
        </w:p>
        <w:p w14:paraId="01FF79A3" w14:textId="77777777" w:rsidR="0081012D" w:rsidRPr="00BA64B4" w:rsidRDefault="007E61B5">
          <w:r w:rsidRPr="00BA64B4">
            <w:rPr>
              <w:rFonts w:ascii="Calibri" w:hAnsi="Calibri"/>
            </w:rPr>
            <w:fldChar w:fldCharType="end"/>
          </w:r>
        </w:p>
      </w:sdtContent>
    </w:sdt>
    <w:p w14:paraId="06F983E4" w14:textId="4A94650E" w:rsidR="00247EAB" w:rsidRDefault="00247EAB" w:rsidP="00247EAB">
      <w:pPr>
        <w:pStyle w:val="Title"/>
        <w:numPr>
          <w:ilvl w:val="0"/>
          <w:numId w:val="0"/>
        </w:numPr>
        <w:ind w:left="360" w:hanging="360"/>
        <w:rPr>
          <w:rFonts w:asciiTheme="minorHAnsi" w:hAnsiTheme="minorHAnsi"/>
        </w:rPr>
        <w:sectPr w:rsidR="00247EAB" w:rsidSect="00271157">
          <w:headerReference w:type="first" r:id="rId17"/>
          <w:pgSz w:w="12240" w:h="15840"/>
          <w:pgMar w:top="792" w:right="1080" w:bottom="720" w:left="1080" w:header="288" w:footer="576" w:gutter="0"/>
          <w:pgNumType w:start="0"/>
          <w:cols w:space="720"/>
          <w:titlePg/>
          <w:docGrid w:linePitch="326"/>
        </w:sectPr>
      </w:pPr>
      <w:bookmarkStart w:id="3" w:name="_Toc440555566"/>
    </w:p>
    <w:p w14:paraId="40EA085B" w14:textId="32A53546" w:rsidR="00EF1B1B" w:rsidRDefault="00EF1B1B" w:rsidP="00064A7B">
      <w:pPr>
        <w:pStyle w:val="Title"/>
        <w:numPr>
          <w:ilvl w:val="0"/>
          <w:numId w:val="0"/>
        </w:numPr>
        <w:ind w:left="360" w:hanging="360"/>
        <w:rPr>
          <w:rFonts w:asciiTheme="minorHAnsi" w:hAnsiTheme="minorHAnsi"/>
        </w:rPr>
      </w:pPr>
      <w:bookmarkStart w:id="4" w:name="_Toc474316414"/>
      <w:r>
        <w:rPr>
          <w:rFonts w:asciiTheme="minorHAnsi" w:hAnsiTheme="minorHAnsi"/>
        </w:rPr>
        <w:lastRenderedPageBreak/>
        <w:t>Revisions</w:t>
      </w:r>
      <w:bookmarkEnd w:id="4"/>
      <w:r>
        <w:rPr>
          <w:rFonts w:asciiTheme="minorHAnsi" w:hAnsiTheme="minorHAnsi"/>
        </w:rPr>
        <w:t xml:space="preserve"> </w:t>
      </w:r>
    </w:p>
    <w:p w14:paraId="5F5A2A6C" w14:textId="77777777" w:rsidR="009D605D" w:rsidRDefault="00EF1B1B" w:rsidP="005A54EE">
      <w:pPr>
        <w:rPr>
          <w:rFonts w:asciiTheme="minorHAnsi" w:hAnsiTheme="minorHAnsi"/>
        </w:rPr>
      </w:pPr>
      <w:r w:rsidRPr="00990E9C">
        <w:rPr>
          <w:rFonts w:asciiTheme="minorHAnsi" w:hAnsiTheme="minorHAnsi"/>
        </w:rPr>
        <w:t xml:space="preserve">Throughout this document you will see numerous revisions from the 2017 Guidance.  </w:t>
      </w:r>
      <w:r w:rsidR="00990E9C">
        <w:rPr>
          <w:rFonts w:asciiTheme="minorHAnsi" w:hAnsiTheme="minorHAnsi"/>
        </w:rPr>
        <w:t xml:space="preserve">Based on feedback from issuers, </w:t>
      </w:r>
      <w:r w:rsidR="00990E9C" w:rsidRPr="00990E9C">
        <w:rPr>
          <w:rFonts w:asciiTheme="minorHAnsi" w:hAnsiTheme="minorHAnsi"/>
        </w:rPr>
        <w:t xml:space="preserve">revisions have been made, in some cases, to be consistent with </w:t>
      </w:r>
      <w:r w:rsidR="00990E9C">
        <w:rPr>
          <w:rFonts w:asciiTheme="minorHAnsi" w:hAnsiTheme="minorHAnsi"/>
        </w:rPr>
        <w:t>federal guidance,</w:t>
      </w:r>
      <w:r w:rsidR="00990E9C" w:rsidRPr="00990E9C">
        <w:rPr>
          <w:rFonts w:asciiTheme="minorHAnsi" w:hAnsiTheme="minorHAnsi"/>
        </w:rPr>
        <w:t xml:space="preserve"> and </w:t>
      </w:r>
      <w:r w:rsidR="00990E9C">
        <w:rPr>
          <w:rFonts w:asciiTheme="minorHAnsi" w:hAnsiTheme="minorHAnsi"/>
        </w:rPr>
        <w:t>in other cases to clarify the D</w:t>
      </w:r>
      <w:r w:rsidR="00990E9C" w:rsidRPr="00990E9C">
        <w:rPr>
          <w:rFonts w:asciiTheme="minorHAnsi" w:hAnsiTheme="minorHAnsi"/>
        </w:rPr>
        <w:t>epartment guidance.  While the following identifies the revised tables and the rationale, d</w:t>
      </w:r>
      <w:r w:rsidR="00990E9C">
        <w:rPr>
          <w:rFonts w:asciiTheme="minorHAnsi" w:hAnsiTheme="minorHAnsi"/>
        </w:rPr>
        <w:t>etailed information is provided</w:t>
      </w:r>
      <w:r w:rsidR="00990E9C" w:rsidRPr="00990E9C">
        <w:rPr>
          <w:rFonts w:asciiTheme="minorHAnsi" w:hAnsiTheme="minorHAnsi"/>
        </w:rPr>
        <w:t xml:space="preserve"> in the body of the guidance in the appropriate section.</w:t>
      </w:r>
      <w:r w:rsidR="009D605D">
        <w:rPr>
          <w:rFonts w:asciiTheme="minorHAnsi" w:hAnsiTheme="minorHAnsi"/>
        </w:rPr>
        <w:t xml:space="preserve"> </w:t>
      </w:r>
    </w:p>
    <w:p w14:paraId="0C7EFE62" w14:textId="77777777" w:rsidR="009D605D" w:rsidRDefault="009D605D" w:rsidP="005A54EE">
      <w:pPr>
        <w:rPr>
          <w:rFonts w:asciiTheme="minorHAnsi" w:hAnsiTheme="minorHAnsi"/>
        </w:rPr>
      </w:pPr>
    </w:p>
    <w:p w14:paraId="6D4F4FFE" w14:textId="091C82DC" w:rsidR="00E43213" w:rsidRDefault="009D605D" w:rsidP="005A54EE">
      <w:pPr>
        <w:rPr>
          <w:rFonts w:asciiTheme="minorHAnsi" w:hAnsiTheme="minorHAnsi"/>
        </w:rPr>
      </w:pPr>
      <w:r>
        <w:rPr>
          <w:rFonts w:asciiTheme="minorHAnsi" w:hAnsiTheme="minorHAnsi"/>
        </w:rPr>
        <w:t>In addition, the Department has provided a list of common questions asked during last year’s review cycle for consideration when preparing a filing</w:t>
      </w:r>
      <w:r w:rsidR="002111D5">
        <w:rPr>
          <w:rFonts w:asciiTheme="minorHAnsi" w:hAnsiTheme="minorHAnsi"/>
        </w:rPr>
        <w:t xml:space="preserve"> – see Attachment </w:t>
      </w:r>
      <w:r w:rsidR="00A805CD">
        <w:rPr>
          <w:rFonts w:asciiTheme="minorHAnsi" w:hAnsiTheme="minorHAnsi"/>
        </w:rPr>
        <w:t>2</w:t>
      </w:r>
      <w:r>
        <w:rPr>
          <w:rFonts w:asciiTheme="minorHAnsi" w:hAnsiTheme="minorHAnsi"/>
        </w:rPr>
        <w:t xml:space="preserve">.  </w:t>
      </w:r>
    </w:p>
    <w:p w14:paraId="16BCB850" w14:textId="77777777" w:rsidR="00990E9C" w:rsidRDefault="00990E9C" w:rsidP="005A54EE">
      <w:pPr>
        <w:rPr>
          <w:rFonts w:asciiTheme="minorHAnsi" w:hAnsiTheme="minorHAnsi"/>
        </w:rPr>
      </w:pPr>
    </w:p>
    <w:tbl>
      <w:tblPr>
        <w:tblStyle w:val="TableGrid"/>
        <w:tblW w:w="0" w:type="auto"/>
        <w:tblLook w:val="04A0" w:firstRow="1" w:lastRow="0" w:firstColumn="1" w:lastColumn="0" w:noHBand="0" w:noVBand="1"/>
      </w:tblPr>
      <w:tblGrid>
        <w:gridCol w:w="1075"/>
        <w:gridCol w:w="8995"/>
      </w:tblGrid>
      <w:tr w:rsidR="00247EAB" w:rsidRPr="00990E9C" w14:paraId="0744828E" w14:textId="77777777" w:rsidTr="005A7D2D">
        <w:trPr>
          <w:trHeight w:val="265"/>
        </w:trPr>
        <w:tc>
          <w:tcPr>
            <w:tcW w:w="1075" w:type="dxa"/>
          </w:tcPr>
          <w:p w14:paraId="60F7A469" w14:textId="77777777" w:rsidR="00247EAB" w:rsidRPr="00990E9C" w:rsidRDefault="00247EAB" w:rsidP="00990E9C">
            <w:pPr>
              <w:jc w:val="center"/>
              <w:rPr>
                <w:rFonts w:asciiTheme="minorHAnsi" w:hAnsiTheme="minorHAnsi"/>
                <w:szCs w:val="22"/>
              </w:rPr>
            </w:pPr>
            <w:r w:rsidRPr="00990E9C">
              <w:rPr>
                <w:rFonts w:asciiTheme="minorHAnsi" w:hAnsiTheme="minorHAnsi"/>
                <w:szCs w:val="22"/>
              </w:rPr>
              <w:t>Table #</w:t>
            </w:r>
          </w:p>
        </w:tc>
        <w:tc>
          <w:tcPr>
            <w:tcW w:w="8995" w:type="dxa"/>
          </w:tcPr>
          <w:p w14:paraId="176B37B3" w14:textId="273FE8F1" w:rsidR="00247EAB" w:rsidRPr="00990E9C" w:rsidRDefault="00247EAB" w:rsidP="00990E9C">
            <w:pPr>
              <w:jc w:val="center"/>
              <w:rPr>
                <w:rFonts w:asciiTheme="minorHAnsi" w:hAnsiTheme="minorHAnsi"/>
                <w:szCs w:val="22"/>
              </w:rPr>
            </w:pPr>
            <w:r w:rsidRPr="00990E9C">
              <w:rPr>
                <w:rFonts w:asciiTheme="minorHAnsi" w:hAnsiTheme="minorHAnsi"/>
                <w:szCs w:val="22"/>
              </w:rPr>
              <w:t>Explanation</w:t>
            </w:r>
          </w:p>
        </w:tc>
      </w:tr>
      <w:tr w:rsidR="00247EAB" w:rsidRPr="00990E9C" w14:paraId="23283E33" w14:textId="77777777" w:rsidTr="005A7D2D">
        <w:trPr>
          <w:trHeight w:val="3455"/>
        </w:trPr>
        <w:tc>
          <w:tcPr>
            <w:tcW w:w="1075" w:type="dxa"/>
          </w:tcPr>
          <w:p w14:paraId="6A5141B9" w14:textId="77777777" w:rsidR="00247EAB" w:rsidRPr="00990E9C" w:rsidRDefault="00247EAB" w:rsidP="00990E9C">
            <w:pPr>
              <w:jc w:val="right"/>
              <w:rPr>
                <w:rFonts w:asciiTheme="minorHAnsi" w:hAnsiTheme="minorHAnsi"/>
                <w:szCs w:val="22"/>
              </w:rPr>
            </w:pPr>
            <w:r>
              <w:rPr>
                <w:rFonts w:asciiTheme="minorHAnsi" w:hAnsiTheme="minorHAnsi"/>
                <w:szCs w:val="22"/>
              </w:rPr>
              <w:t>General</w:t>
            </w:r>
          </w:p>
        </w:tc>
        <w:tc>
          <w:tcPr>
            <w:tcW w:w="8995" w:type="dxa"/>
          </w:tcPr>
          <w:p w14:paraId="4A5342A1" w14:textId="5794960B" w:rsidR="00247EAB" w:rsidRDefault="00247EAB" w:rsidP="00A63B50">
            <w:pPr>
              <w:pStyle w:val="ListParagraph"/>
              <w:numPr>
                <w:ilvl w:val="0"/>
                <w:numId w:val="37"/>
              </w:numPr>
              <w:rPr>
                <w:rFonts w:asciiTheme="minorHAnsi" w:hAnsiTheme="minorHAnsi"/>
                <w:szCs w:val="22"/>
              </w:rPr>
            </w:pPr>
            <w:r w:rsidRPr="009B0E18">
              <w:rPr>
                <w:rFonts w:asciiTheme="minorHAnsi" w:hAnsiTheme="minorHAnsi"/>
                <w:szCs w:val="22"/>
              </w:rPr>
              <w:t>Merged cover letter and PA Bulletin summary documents into single cover letter submission.</w:t>
            </w:r>
          </w:p>
          <w:p w14:paraId="772FEDF5" w14:textId="5D993099" w:rsidR="00247EAB" w:rsidRDefault="00247EAB" w:rsidP="00A63B50">
            <w:pPr>
              <w:pStyle w:val="ListParagraph"/>
              <w:numPr>
                <w:ilvl w:val="0"/>
                <w:numId w:val="37"/>
              </w:numPr>
              <w:rPr>
                <w:rFonts w:asciiTheme="minorHAnsi" w:hAnsiTheme="minorHAnsi"/>
                <w:szCs w:val="22"/>
              </w:rPr>
            </w:pPr>
            <w:r>
              <w:rPr>
                <w:rFonts w:asciiTheme="minorHAnsi" w:hAnsiTheme="minorHAnsi"/>
                <w:szCs w:val="22"/>
              </w:rPr>
              <w:t xml:space="preserve">We are requesting </w:t>
            </w:r>
            <w:r w:rsidRPr="009B0E18">
              <w:rPr>
                <w:rFonts w:asciiTheme="minorHAnsi" w:hAnsiTheme="minorHAnsi"/>
                <w:szCs w:val="22"/>
              </w:rPr>
              <w:t xml:space="preserve">comments on </w:t>
            </w:r>
            <w:r>
              <w:rPr>
                <w:rFonts w:asciiTheme="minorHAnsi" w:hAnsiTheme="minorHAnsi"/>
                <w:szCs w:val="22"/>
              </w:rPr>
              <w:t>if/</w:t>
            </w:r>
            <w:r w:rsidRPr="009B0E18">
              <w:rPr>
                <w:rFonts w:asciiTheme="minorHAnsi" w:hAnsiTheme="minorHAnsi"/>
                <w:szCs w:val="22"/>
              </w:rPr>
              <w:t>how to revise our guidance the Rate Change Request Summary template</w:t>
            </w:r>
            <w:r>
              <w:rPr>
                <w:rFonts w:asciiTheme="minorHAnsi" w:hAnsiTheme="minorHAnsi"/>
                <w:szCs w:val="22"/>
              </w:rPr>
              <w:t xml:space="preserve"> or the directions on how to complete it</w:t>
            </w:r>
            <w:r w:rsidRPr="009B0E18">
              <w:rPr>
                <w:rFonts w:asciiTheme="minorHAnsi" w:hAnsiTheme="minorHAnsi"/>
                <w:szCs w:val="22"/>
              </w:rPr>
              <w:t xml:space="preserve"> while continuing to ensure that all issuers report summary financial experience information derived in a consistent manner across issuers.</w:t>
            </w:r>
          </w:p>
          <w:p w14:paraId="28BD95F6" w14:textId="560F557C" w:rsidR="00247EAB" w:rsidRDefault="00247EAB" w:rsidP="00A63B50">
            <w:pPr>
              <w:pStyle w:val="ListParagraph"/>
              <w:numPr>
                <w:ilvl w:val="0"/>
                <w:numId w:val="37"/>
              </w:numPr>
              <w:rPr>
                <w:rFonts w:asciiTheme="minorHAnsi" w:hAnsiTheme="minorHAnsi"/>
                <w:szCs w:val="22"/>
              </w:rPr>
            </w:pPr>
            <w:r>
              <w:rPr>
                <w:rFonts w:asciiTheme="minorHAnsi" w:hAnsiTheme="minorHAnsi"/>
                <w:szCs w:val="22"/>
              </w:rPr>
              <w:t>We have added a request that each filing include a map demonstrating the issuer’s service area (distinguishing between on- and off-exchange, if applicable).</w:t>
            </w:r>
          </w:p>
          <w:p w14:paraId="0F9173AA" w14:textId="63ACA0CC" w:rsidR="00247EAB" w:rsidRDefault="00247EAB" w:rsidP="00A63B50">
            <w:pPr>
              <w:pStyle w:val="ListParagraph"/>
              <w:numPr>
                <w:ilvl w:val="0"/>
                <w:numId w:val="37"/>
              </w:numPr>
              <w:rPr>
                <w:rFonts w:asciiTheme="minorHAnsi" w:hAnsiTheme="minorHAnsi"/>
                <w:szCs w:val="22"/>
              </w:rPr>
            </w:pPr>
            <w:r>
              <w:rPr>
                <w:rFonts w:asciiTheme="minorHAnsi" w:hAnsiTheme="minorHAnsi"/>
                <w:szCs w:val="22"/>
              </w:rPr>
              <w:t xml:space="preserve">We will be providing the completeness and redaction </w:t>
            </w:r>
            <w:r w:rsidR="00EA48C5">
              <w:rPr>
                <w:rFonts w:asciiTheme="minorHAnsi" w:hAnsiTheme="minorHAnsi"/>
                <w:szCs w:val="22"/>
              </w:rPr>
              <w:t xml:space="preserve">checklist </w:t>
            </w:r>
            <w:r>
              <w:rPr>
                <w:rFonts w:asciiTheme="minorHAnsi" w:hAnsiTheme="minorHAnsi"/>
                <w:szCs w:val="22"/>
              </w:rPr>
              <w:t>in Excel</w:t>
            </w:r>
            <w:r w:rsidR="00EA48C5">
              <w:rPr>
                <w:rFonts w:asciiTheme="minorHAnsi" w:hAnsiTheme="minorHAnsi"/>
                <w:szCs w:val="22"/>
              </w:rPr>
              <w:t xml:space="preserve"> rather than a PDF.</w:t>
            </w:r>
          </w:p>
          <w:p w14:paraId="04C8B72F" w14:textId="1C21DC01" w:rsidR="00247EAB" w:rsidRPr="005A7D2D" w:rsidRDefault="00247EAB" w:rsidP="005A7D2D">
            <w:pPr>
              <w:pStyle w:val="ListParagraph"/>
              <w:numPr>
                <w:ilvl w:val="0"/>
                <w:numId w:val="37"/>
              </w:numPr>
              <w:rPr>
                <w:rFonts w:asciiTheme="minorHAnsi" w:hAnsiTheme="minorHAnsi"/>
                <w:szCs w:val="22"/>
              </w:rPr>
            </w:pPr>
            <w:r>
              <w:rPr>
                <w:rFonts w:asciiTheme="minorHAnsi" w:hAnsiTheme="minorHAnsi"/>
                <w:szCs w:val="22"/>
              </w:rPr>
              <w:t xml:space="preserve">Rather than requesting a PDF version of each submitted document for public posting, as we did last year, we are requesting a single PDF of the entire filing for public posting. </w:t>
            </w:r>
            <w:r>
              <w:rPr>
                <w:rFonts w:asciiTheme="minorHAnsi" w:hAnsiTheme="minorHAnsi"/>
              </w:rPr>
              <w:t>If the issuers chooses to make the limited redactions anticipated by the Department, those redactions should be made only in this document.</w:t>
            </w:r>
          </w:p>
        </w:tc>
      </w:tr>
      <w:tr w:rsidR="00247EAB" w:rsidRPr="00990E9C" w14:paraId="34670D5D" w14:textId="77777777" w:rsidTr="005A7D2D">
        <w:trPr>
          <w:trHeight w:val="2510"/>
        </w:trPr>
        <w:tc>
          <w:tcPr>
            <w:tcW w:w="1075" w:type="dxa"/>
          </w:tcPr>
          <w:p w14:paraId="59E6DFE0" w14:textId="39979312" w:rsidR="00247EAB" w:rsidRPr="00990E9C" w:rsidRDefault="00247EAB" w:rsidP="00990E9C">
            <w:pPr>
              <w:jc w:val="right"/>
              <w:rPr>
                <w:rFonts w:asciiTheme="minorHAnsi" w:hAnsiTheme="minorHAnsi"/>
                <w:szCs w:val="22"/>
              </w:rPr>
            </w:pPr>
            <w:r w:rsidRPr="00990E9C">
              <w:rPr>
                <w:rFonts w:asciiTheme="minorHAnsi" w:hAnsiTheme="minorHAnsi"/>
                <w:szCs w:val="22"/>
              </w:rPr>
              <w:t>0.</w:t>
            </w:r>
          </w:p>
        </w:tc>
        <w:tc>
          <w:tcPr>
            <w:tcW w:w="8995" w:type="dxa"/>
          </w:tcPr>
          <w:p w14:paraId="09277ACE" w14:textId="77B860A4" w:rsidR="00247EAB" w:rsidRPr="00990E9C" w:rsidRDefault="00247EAB" w:rsidP="00990E9C">
            <w:pPr>
              <w:rPr>
                <w:rFonts w:asciiTheme="minorHAnsi" w:hAnsiTheme="minorHAnsi"/>
                <w:szCs w:val="22"/>
              </w:rPr>
            </w:pPr>
            <w:r>
              <w:rPr>
                <w:rFonts w:asciiTheme="minorHAnsi" w:hAnsiTheme="minorHAnsi"/>
                <w:szCs w:val="22"/>
              </w:rPr>
              <w:t xml:space="preserve">Added new Table </w:t>
            </w:r>
            <w:r w:rsidRPr="00990E9C">
              <w:rPr>
                <w:rFonts w:asciiTheme="minorHAnsi" w:hAnsiTheme="minorHAnsi"/>
                <w:szCs w:val="22"/>
              </w:rPr>
              <w:t>0</w:t>
            </w:r>
            <w:r>
              <w:rPr>
                <w:rFonts w:asciiTheme="minorHAnsi" w:hAnsiTheme="minorHAnsi"/>
                <w:szCs w:val="22"/>
              </w:rPr>
              <w:t>,</w:t>
            </w:r>
            <w:r w:rsidRPr="00990E9C">
              <w:rPr>
                <w:rFonts w:asciiTheme="minorHAnsi" w:hAnsiTheme="minorHAnsi"/>
                <w:szCs w:val="22"/>
              </w:rPr>
              <w:t xml:space="preserve"> above Table 1</w:t>
            </w:r>
          </w:p>
          <w:p w14:paraId="4A9EEFED" w14:textId="77777777" w:rsidR="00247EAB" w:rsidRPr="00990E9C" w:rsidRDefault="00247EAB" w:rsidP="005A7D2D">
            <w:pPr>
              <w:pStyle w:val="ListParagraph"/>
              <w:numPr>
                <w:ilvl w:val="0"/>
                <w:numId w:val="17"/>
              </w:numPr>
              <w:ind w:left="360"/>
              <w:rPr>
                <w:rFonts w:asciiTheme="minorHAnsi" w:hAnsiTheme="minorHAnsi"/>
                <w:szCs w:val="22"/>
              </w:rPr>
            </w:pPr>
            <w:r w:rsidRPr="00990E9C">
              <w:rPr>
                <w:rFonts w:asciiTheme="minorHAnsi" w:hAnsiTheme="minorHAnsi"/>
                <w:szCs w:val="22"/>
              </w:rPr>
              <w:t xml:space="preserve">Require company inputs e.g. company name, product Information </w:t>
            </w:r>
          </w:p>
          <w:p w14:paraId="4E672EB0" w14:textId="77777777" w:rsidR="00247EAB" w:rsidRPr="00990E9C" w:rsidRDefault="00247EAB" w:rsidP="005A7D2D">
            <w:pPr>
              <w:pStyle w:val="ListParagraph"/>
              <w:numPr>
                <w:ilvl w:val="1"/>
                <w:numId w:val="16"/>
              </w:numPr>
              <w:spacing w:after="160" w:line="259" w:lineRule="auto"/>
              <w:ind w:left="1080"/>
              <w:rPr>
                <w:rFonts w:asciiTheme="minorHAnsi" w:hAnsiTheme="minorHAnsi"/>
                <w:szCs w:val="22"/>
              </w:rPr>
            </w:pPr>
            <w:r w:rsidRPr="00990E9C">
              <w:rPr>
                <w:rFonts w:asciiTheme="minorHAnsi" w:hAnsiTheme="minorHAnsi"/>
                <w:szCs w:val="22"/>
              </w:rPr>
              <w:t>The effective date is a list.</w:t>
            </w:r>
          </w:p>
          <w:p w14:paraId="6776FCBD" w14:textId="77777777" w:rsidR="00247EAB" w:rsidRPr="00990E9C" w:rsidRDefault="00247EAB" w:rsidP="005A7D2D">
            <w:pPr>
              <w:pStyle w:val="ListParagraph"/>
              <w:numPr>
                <w:ilvl w:val="0"/>
                <w:numId w:val="17"/>
              </w:numPr>
              <w:spacing w:after="160" w:line="259" w:lineRule="auto"/>
              <w:ind w:left="360"/>
              <w:rPr>
                <w:rFonts w:asciiTheme="minorHAnsi" w:hAnsiTheme="minorHAnsi"/>
                <w:szCs w:val="22"/>
              </w:rPr>
            </w:pPr>
            <w:r w:rsidRPr="00990E9C">
              <w:rPr>
                <w:rFonts w:asciiTheme="minorHAnsi" w:hAnsiTheme="minorHAnsi"/>
                <w:szCs w:val="22"/>
              </w:rPr>
              <w:t xml:space="preserve">Base Period Start Date </w:t>
            </w:r>
          </w:p>
          <w:p w14:paraId="5ACAC097" w14:textId="77777777" w:rsidR="00247EAB" w:rsidRPr="00990E9C" w:rsidRDefault="00247EAB" w:rsidP="005A7D2D">
            <w:pPr>
              <w:pStyle w:val="ListParagraph"/>
              <w:numPr>
                <w:ilvl w:val="0"/>
                <w:numId w:val="20"/>
              </w:numPr>
              <w:spacing w:after="160" w:line="259" w:lineRule="auto"/>
              <w:ind w:left="1080"/>
              <w:rPr>
                <w:rFonts w:asciiTheme="minorHAnsi" w:hAnsiTheme="minorHAnsi"/>
                <w:szCs w:val="22"/>
              </w:rPr>
            </w:pPr>
            <w:r w:rsidRPr="00990E9C">
              <w:rPr>
                <w:rFonts w:asciiTheme="minorHAnsi" w:hAnsiTheme="minorHAnsi"/>
                <w:szCs w:val="22"/>
              </w:rPr>
              <w:t>This is a calculated field which enters 24</w:t>
            </w:r>
            <w:r>
              <w:rPr>
                <w:rFonts w:asciiTheme="minorHAnsi" w:hAnsiTheme="minorHAnsi"/>
                <w:szCs w:val="22"/>
              </w:rPr>
              <w:t xml:space="preserve"> months prior to the effective d</w:t>
            </w:r>
            <w:r w:rsidRPr="00990E9C">
              <w:rPr>
                <w:rFonts w:asciiTheme="minorHAnsi" w:hAnsiTheme="minorHAnsi"/>
                <w:szCs w:val="22"/>
              </w:rPr>
              <w:t>ate chosen</w:t>
            </w:r>
            <w:r>
              <w:rPr>
                <w:rFonts w:asciiTheme="minorHAnsi" w:hAnsiTheme="minorHAnsi"/>
                <w:szCs w:val="22"/>
              </w:rPr>
              <w:t>.</w:t>
            </w:r>
          </w:p>
          <w:p w14:paraId="2F4B4A35" w14:textId="77777777" w:rsidR="00247EAB" w:rsidRPr="00990E9C" w:rsidRDefault="00247EAB" w:rsidP="005A7D2D">
            <w:pPr>
              <w:pStyle w:val="ListParagraph"/>
              <w:numPr>
                <w:ilvl w:val="0"/>
                <w:numId w:val="17"/>
              </w:numPr>
              <w:spacing w:after="160" w:line="259" w:lineRule="auto"/>
              <w:ind w:left="360"/>
              <w:rPr>
                <w:rFonts w:asciiTheme="minorHAnsi" w:hAnsiTheme="minorHAnsi"/>
                <w:szCs w:val="22"/>
              </w:rPr>
            </w:pPr>
            <w:r w:rsidRPr="00990E9C">
              <w:rPr>
                <w:rFonts w:asciiTheme="minorHAnsi" w:hAnsiTheme="minorHAnsi"/>
                <w:szCs w:val="22"/>
              </w:rPr>
              <w:t xml:space="preserve">Date of Most Recent Membership </w:t>
            </w:r>
          </w:p>
          <w:p w14:paraId="766A9590" w14:textId="77777777" w:rsidR="00247EAB" w:rsidRPr="00990E9C" w:rsidRDefault="00247EAB" w:rsidP="005A7D2D">
            <w:pPr>
              <w:pStyle w:val="ListParagraph"/>
              <w:numPr>
                <w:ilvl w:val="0"/>
                <w:numId w:val="21"/>
              </w:numPr>
              <w:spacing w:after="160" w:line="259" w:lineRule="auto"/>
              <w:ind w:left="1080"/>
              <w:rPr>
                <w:rFonts w:asciiTheme="minorHAnsi" w:hAnsiTheme="minorHAnsi"/>
                <w:szCs w:val="22"/>
              </w:rPr>
            </w:pPr>
            <w:r w:rsidRPr="00990E9C">
              <w:rPr>
                <w:rFonts w:asciiTheme="minorHAnsi" w:hAnsiTheme="minorHAnsi"/>
                <w:szCs w:val="22"/>
              </w:rPr>
              <w:t>This is a calculated field which enters 11 months prior to the effective date, i.e. 2/1/17 for annual small group filings.</w:t>
            </w:r>
          </w:p>
          <w:p w14:paraId="71F8ABFF" w14:textId="77777777" w:rsidR="00247EAB" w:rsidRPr="00990E9C" w:rsidRDefault="00247EAB" w:rsidP="005A7D2D">
            <w:pPr>
              <w:pStyle w:val="ListParagraph"/>
              <w:numPr>
                <w:ilvl w:val="0"/>
                <w:numId w:val="17"/>
              </w:numPr>
              <w:spacing w:after="160" w:line="259" w:lineRule="auto"/>
              <w:ind w:left="360"/>
              <w:rPr>
                <w:rFonts w:asciiTheme="minorHAnsi" w:hAnsiTheme="minorHAnsi"/>
                <w:szCs w:val="22"/>
              </w:rPr>
            </w:pPr>
            <w:r w:rsidRPr="00990E9C">
              <w:rPr>
                <w:rFonts w:asciiTheme="minorHAnsi" w:hAnsiTheme="minorHAnsi"/>
                <w:szCs w:val="22"/>
              </w:rPr>
              <w:t>Rate Effective Date Through</w:t>
            </w:r>
          </w:p>
          <w:p w14:paraId="6BEB4B0C" w14:textId="77777777" w:rsidR="00247EAB" w:rsidRPr="00990E9C" w:rsidRDefault="00247EAB" w:rsidP="005A7D2D">
            <w:pPr>
              <w:pStyle w:val="ListParagraph"/>
              <w:numPr>
                <w:ilvl w:val="0"/>
                <w:numId w:val="22"/>
              </w:numPr>
              <w:spacing w:after="160" w:line="259" w:lineRule="auto"/>
              <w:ind w:left="1080"/>
              <w:rPr>
                <w:rFonts w:asciiTheme="minorHAnsi" w:hAnsiTheme="minorHAnsi"/>
                <w:szCs w:val="22"/>
              </w:rPr>
            </w:pPr>
            <w:r w:rsidRPr="00990E9C">
              <w:rPr>
                <w:rFonts w:asciiTheme="minorHAnsi" w:hAnsiTheme="minorHAnsi"/>
                <w:szCs w:val="22"/>
              </w:rPr>
              <w:t>This is a calculated field which calculates the end of the 12-month effective period</w:t>
            </w:r>
            <w:r>
              <w:rPr>
                <w:rFonts w:asciiTheme="minorHAnsi" w:hAnsiTheme="minorHAnsi"/>
                <w:szCs w:val="22"/>
              </w:rPr>
              <w:t>.</w:t>
            </w:r>
          </w:p>
          <w:p w14:paraId="3CAAFD7A" w14:textId="77777777" w:rsidR="00247EAB" w:rsidRPr="00990E9C" w:rsidRDefault="00247EAB" w:rsidP="005A7D2D">
            <w:pPr>
              <w:pStyle w:val="ListParagraph"/>
              <w:numPr>
                <w:ilvl w:val="0"/>
                <w:numId w:val="17"/>
              </w:numPr>
              <w:spacing w:after="160" w:line="259" w:lineRule="auto"/>
              <w:ind w:left="360"/>
              <w:rPr>
                <w:rFonts w:asciiTheme="minorHAnsi" w:hAnsiTheme="minorHAnsi"/>
                <w:szCs w:val="22"/>
              </w:rPr>
            </w:pPr>
            <w:r w:rsidRPr="00990E9C">
              <w:rPr>
                <w:rFonts w:asciiTheme="minorHAnsi" w:hAnsiTheme="minorHAnsi"/>
                <w:szCs w:val="22"/>
              </w:rPr>
              <w:t>Base Period Date Through</w:t>
            </w:r>
          </w:p>
          <w:p w14:paraId="06CAFD60" w14:textId="77777777" w:rsidR="00247EAB" w:rsidRPr="00CE364A" w:rsidRDefault="00247EAB" w:rsidP="005A7D2D">
            <w:pPr>
              <w:pStyle w:val="ListParagraph"/>
              <w:numPr>
                <w:ilvl w:val="0"/>
                <w:numId w:val="23"/>
              </w:numPr>
              <w:spacing w:after="160" w:line="259" w:lineRule="auto"/>
              <w:ind w:left="1080"/>
              <w:rPr>
                <w:rFonts w:asciiTheme="minorHAnsi" w:hAnsiTheme="minorHAnsi"/>
                <w:szCs w:val="22"/>
              </w:rPr>
            </w:pPr>
            <w:r w:rsidRPr="00990E9C">
              <w:rPr>
                <w:rFonts w:asciiTheme="minorHAnsi" w:hAnsiTheme="minorHAnsi"/>
                <w:szCs w:val="22"/>
              </w:rPr>
              <w:t>This is a calculated field which calculates the end of the 12-month base period</w:t>
            </w:r>
            <w:r>
              <w:rPr>
                <w:rFonts w:asciiTheme="minorHAnsi" w:hAnsiTheme="minorHAnsi"/>
                <w:szCs w:val="22"/>
              </w:rPr>
              <w:t>.</w:t>
            </w:r>
          </w:p>
        </w:tc>
      </w:tr>
      <w:tr w:rsidR="00247EAB" w:rsidRPr="00990E9C" w14:paraId="6B9B1E46" w14:textId="77777777" w:rsidTr="005A7D2D">
        <w:trPr>
          <w:trHeight w:val="531"/>
        </w:trPr>
        <w:tc>
          <w:tcPr>
            <w:tcW w:w="1075" w:type="dxa"/>
          </w:tcPr>
          <w:p w14:paraId="7078792E" w14:textId="77777777" w:rsidR="00247EAB" w:rsidRPr="00990E9C" w:rsidRDefault="00247EAB" w:rsidP="00990E9C">
            <w:pPr>
              <w:jc w:val="right"/>
              <w:rPr>
                <w:rFonts w:asciiTheme="minorHAnsi" w:hAnsiTheme="minorHAnsi"/>
                <w:szCs w:val="22"/>
              </w:rPr>
            </w:pPr>
            <w:r w:rsidRPr="00990E9C">
              <w:rPr>
                <w:rFonts w:asciiTheme="minorHAnsi" w:hAnsiTheme="minorHAnsi"/>
                <w:szCs w:val="22"/>
              </w:rPr>
              <w:t>1.</w:t>
            </w:r>
          </w:p>
        </w:tc>
        <w:tc>
          <w:tcPr>
            <w:tcW w:w="8995" w:type="dxa"/>
          </w:tcPr>
          <w:p w14:paraId="58CDD617" w14:textId="4B82C32D" w:rsidR="00247EAB" w:rsidRPr="00990E9C" w:rsidRDefault="00247EAB" w:rsidP="00A63B50">
            <w:pPr>
              <w:pStyle w:val="ListParagraph"/>
              <w:numPr>
                <w:ilvl w:val="0"/>
                <w:numId w:val="24"/>
              </w:numPr>
              <w:rPr>
                <w:rFonts w:asciiTheme="minorHAnsi" w:hAnsiTheme="minorHAnsi"/>
                <w:szCs w:val="22"/>
              </w:rPr>
            </w:pPr>
            <w:r w:rsidRPr="00990E9C">
              <w:rPr>
                <w:rFonts w:asciiTheme="minorHAnsi" w:hAnsiTheme="minorHAnsi"/>
                <w:szCs w:val="22"/>
              </w:rPr>
              <w:t>Entry required for the average age for each recording period.</w:t>
            </w:r>
          </w:p>
        </w:tc>
      </w:tr>
      <w:tr w:rsidR="00247EAB" w:rsidRPr="00990E9C" w14:paraId="434B34A9" w14:textId="77777777" w:rsidTr="005A7D2D">
        <w:trPr>
          <w:trHeight w:val="782"/>
        </w:trPr>
        <w:tc>
          <w:tcPr>
            <w:tcW w:w="1075" w:type="dxa"/>
          </w:tcPr>
          <w:p w14:paraId="38E54F2D" w14:textId="77777777" w:rsidR="00247EAB" w:rsidRPr="00990E9C" w:rsidRDefault="00247EAB" w:rsidP="00990E9C">
            <w:pPr>
              <w:jc w:val="right"/>
              <w:rPr>
                <w:rFonts w:asciiTheme="minorHAnsi" w:hAnsiTheme="minorHAnsi"/>
                <w:szCs w:val="22"/>
              </w:rPr>
            </w:pPr>
            <w:r w:rsidRPr="00990E9C">
              <w:rPr>
                <w:rFonts w:asciiTheme="minorHAnsi" w:hAnsiTheme="minorHAnsi"/>
                <w:szCs w:val="22"/>
              </w:rPr>
              <w:t>2.</w:t>
            </w:r>
          </w:p>
        </w:tc>
        <w:tc>
          <w:tcPr>
            <w:tcW w:w="8995" w:type="dxa"/>
          </w:tcPr>
          <w:p w14:paraId="501B52FB" w14:textId="2C6F7E93" w:rsidR="00247EAB" w:rsidRPr="009B0E18" w:rsidRDefault="00247EAB" w:rsidP="00A63B50">
            <w:pPr>
              <w:pStyle w:val="ListParagraph"/>
              <w:numPr>
                <w:ilvl w:val="0"/>
                <w:numId w:val="25"/>
              </w:numPr>
              <w:rPr>
                <w:rFonts w:asciiTheme="minorHAnsi" w:hAnsiTheme="minorHAnsi"/>
                <w:szCs w:val="22"/>
              </w:rPr>
            </w:pPr>
            <w:r w:rsidRPr="00990E9C">
              <w:rPr>
                <w:rFonts w:asciiTheme="minorHAnsi" w:hAnsiTheme="minorHAnsi"/>
                <w:szCs w:val="22"/>
              </w:rPr>
              <w:t xml:space="preserve">Member months </w:t>
            </w:r>
            <w:r>
              <w:rPr>
                <w:rFonts w:asciiTheme="minorHAnsi" w:hAnsiTheme="minorHAnsi"/>
                <w:szCs w:val="22"/>
              </w:rPr>
              <w:t xml:space="preserve">(cell E36) </w:t>
            </w:r>
            <w:r w:rsidRPr="00990E9C">
              <w:rPr>
                <w:rFonts w:asciiTheme="minorHAnsi" w:hAnsiTheme="minorHAnsi"/>
                <w:szCs w:val="22"/>
              </w:rPr>
              <w:t>were changed to calculated cell referencing Table 1 experience member months.</w:t>
            </w:r>
          </w:p>
        </w:tc>
      </w:tr>
      <w:tr w:rsidR="00247EAB" w:rsidRPr="00990E9C" w14:paraId="018FDA2B" w14:textId="77777777" w:rsidTr="005A7D2D">
        <w:trPr>
          <w:trHeight w:val="2420"/>
        </w:trPr>
        <w:tc>
          <w:tcPr>
            <w:tcW w:w="1075" w:type="dxa"/>
          </w:tcPr>
          <w:p w14:paraId="37300A31" w14:textId="77777777" w:rsidR="00247EAB" w:rsidRPr="00990E9C" w:rsidRDefault="00247EAB" w:rsidP="00990E9C">
            <w:pPr>
              <w:jc w:val="right"/>
              <w:rPr>
                <w:rFonts w:asciiTheme="minorHAnsi" w:hAnsiTheme="minorHAnsi"/>
                <w:szCs w:val="22"/>
              </w:rPr>
            </w:pPr>
            <w:r w:rsidRPr="00990E9C">
              <w:rPr>
                <w:rFonts w:asciiTheme="minorHAnsi" w:hAnsiTheme="minorHAnsi"/>
                <w:szCs w:val="22"/>
              </w:rPr>
              <w:lastRenderedPageBreak/>
              <w:t>3.</w:t>
            </w:r>
          </w:p>
        </w:tc>
        <w:tc>
          <w:tcPr>
            <w:tcW w:w="8995" w:type="dxa"/>
          </w:tcPr>
          <w:p w14:paraId="4903C8A0" w14:textId="2CE6F5B3" w:rsidR="00247EAB" w:rsidRPr="00990E9C" w:rsidRDefault="00247EAB" w:rsidP="005A7D2D">
            <w:pPr>
              <w:pStyle w:val="ListParagraph"/>
              <w:numPr>
                <w:ilvl w:val="0"/>
                <w:numId w:val="26"/>
              </w:numPr>
              <w:ind w:left="360"/>
              <w:rPr>
                <w:rFonts w:asciiTheme="minorHAnsi" w:hAnsiTheme="minorHAnsi"/>
                <w:szCs w:val="22"/>
              </w:rPr>
            </w:pPr>
            <w:r w:rsidRPr="00990E9C">
              <w:rPr>
                <w:rFonts w:asciiTheme="minorHAnsi" w:hAnsiTheme="minorHAnsi"/>
                <w:szCs w:val="22"/>
              </w:rPr>
              <w:t>Changed cell G5</w:t>
            </w:r>
            <w:r>
              <w:rPr>
                <w:rFonts w:asciiTheme="minorHAnsi" w:hAnsiTheme="minorHAnsi"/>
                <w:szCs w:val="22"/>
              </w:rPr>
              <w:t>4</w:t>
            </w:r>
            <w:r w:rsidRPr="00990E9C">
              <w:rPr>
                <w:rFonts w:asciiTheme="minorHAnsi" w:hAnsiTheme="minorHAnsi"/>
                <w:szCs w:val="22"/>
              </w:rPr>
              <w:t xml:space="preserve"> to reference the months of trend cell G5</w:t>
            </w:r>
            <w:r>
              <w:rPr>
                <w:rFonts w:asciiTheme="minorHAnsi" w:hAnsiTheme="minorHAnsi"/>
                <w:szCs w:val="22"/>
              </w:rPr>
              <w:t>3.</w:t>
            </w:r>
          </w:p>
          <w:p w14:paraId="31347F43" w14:textId="77777777" w:rsidR="00247EAB" w:rsidRPr="00990E9C" w:rsidRDefault="00247EAB" w:rsidP="005A7D2D">
            <w:pPr>
              <w:pStyle w:val="ListParagraph"/>
              <w:numPr>
                <w:ilvl w:val="0"/>
                <w:numId w:val="26"/>
              </w:numPr>
              <w:ind w:left="360"/>
              <w:rPr>
                <w:rFonts w:asciiTheme="minorHAnsi" w:hAnsiTheme="minorHAnsi"/>
                <w:szCs w:val="22"/>
              </w:rPr>
            </w:pPr>
            <w:r w:rsidRPr="00990E9C">
              <w:rPr>
                <w:rFonts w:asciiTheme="minorHAnsi" w:hAnsiTheme="minorHAnsi"/>
                <w:szCs w:val="22"/>
              </w:rPr>
              <w:t>Added Months of Trend on row 52</w:t>
            </w:r>
          </w:p>
          <w:p w14:paraId="4602FEB6" w14:textId="77777777" w:rsidR="00247EAB" w:rsidRPr="00990E9C" w:rsidRDefault="00247EAB" w:rsidP="005A7D2D">
            <w:pPr>
              <w:pStyle w:val="ListParagraph"/>
              <w:numPr>
                <w:ilvl w:val="0"/>
                <w:numId w:val="27"/>
              </w:numPr>
              <w:spacing w:after="160" w:line="259" w:lineRule="auto"/>
              <w:ind w:left="1080"/>
              <w:rPr>
                <w:rFonts w:asciiTheme="minorHAnsi" w:hAnsiTheme="minorHAnsi"/>
                <w:szCs w:val="22"/>
              </w:rPr>
            </w:pPr>
            <w:r w:rsidRPr="00990E9C">
              <w:rPr>
                <w:rFonts w:asciiTheme="minorHAnsi" w:hAnsiTheme="minorHAnsi"/>
                <w:szCs w:val="22"/>
              </w:rPr>
              <w:t>This is a calculated field which calculates the months of trend from midpoint of experience period to midpoint of rating period from Table 0</w:t>
            </w:r>
            <w:r>
              <w:rPr>
                <w:rFonts w:asciiTheme="minorHAnsi" w:hAnsiTheme="minorHAnsi"/>
                <w:szCs w:val="22"/>
              </w:rPr>
              <w:t>.</w:t>
            </w:r>
          </w:p>
          <w:p w14:paraId="7BF26FFE" w14:textId="336CA76C" w:rsidR="00247EAB" w:rsidRPr="00990E9C" w:rsidRDefault="00247EAB" w:rsidP="005A7D2D">
            <w:pPr>
              <w:pStyle w:val="ListParagraph"/>
              <w:numPr>
                <w:ilvl w:val="0"/>
                <w:numId w:val="26"/>
              </w:numPr>
              <w:ind w:left="360"/>
              <w:rPr>
                <w:rFonts w:asciiTheme="minorHAnsi" w:hAnsiTheme="minorHAnsi"/>
                <w:szCs w:val="22"/>
              </w:rPr>
            </w:pPr>
            <w:r w:rsidRPr="00990E9C">
              <w:rPr>
                <w:rFonts w:asciiTheme="minorHAnsi" w:hAnsiTheme="minorHAnsi"/>
                <w:szCs w:val="22"/>
              </w:rPr>
              <w:t>Changed “2 Year Trend Projection Factor” in B5</w:t>
            </w:r>
            <w:r>
              <w:rPr>
                <w:rFonts w:asciiTheme="minorHAnsi" w:hAnsiTheme="minorHAnsi"/>
                <w:szCs w:val="22"/>
              </w:rPr>
              <w:t>4</w:t>
            </w:r>
            <w:r w:rsidRPr="00990E9C">
              <w:rPr>
                <w:rFonts w:asciiTheme="minorHAnsi" w:hAnsiTheme="minorHAnsi"/>
                <w:szCs w:val="22"/>
              </w:rPr>
              <w:t xml:space="preserve"> to “Total Applied Trend Projection Factor</w:t>
            </w:r>
            <w:r>
              <w:rPr>
                <w:rFonts w:asciiTheme="minorHAnsi" w:hAnsiTheme="minorHAnsi"/>
                <w:szCs w:val="22"/>
              </w:rPr>
              <w:t>.</w:t>
            </w:r>
            <w:r w:rsidRPr="00990E9C">
              <w:rPr>
                <w:rFonts w:asciiTheme="minorHAnsi" w:hAnsiTheme="minorHAnsi"/>
                <w:szCs w:val="22"/>
              </w:rPr>
              <w:t>”</w:t>
            </w:r>
          </w:p>
          <w:p w14:paraId="1EBF6859" w14:textId="75806394" w:rsidR="00247EAB" w:rsidRPr="00990E9C" w:rsidRDefault="00247EAB" w:rsidP="005A7D2D">
            <w:pPr>
              <w:pStyle w:val="ListParagraph"/>
              <w:numPr>
                <w:ilvl w:val="0"/>
                <w:numId w:val="26"/>
              </w:numPr>
              <w:ind w:left="360"/>
              <w:rPr>
                <w:rFonts w:asciiTheme="minorHAnsi" w:hAnsiTheme="minorHAnsi"/>
                <w:szCs w:val="22"/>
              </w:rPr>
            </w:pPr>
            <w:r>
              <w:rPr>
                <w:rFonts w:asciiTheme="minorHAnsi" w:hAnsiTheme="minorHAnsi"/>
                <w:szCs w:val="22"/>
              </w:rPr>
              <w:t xml:space="preserve">Added </w:t>
            </w:r>
            <w:r w:rsidRPr="00990E9C">
              <w:rPr>
                <w:rFonts w:asciiTheme="minorHAnsi" w:hAnsiTheme="minorHAnsi"/>
                <w:szCs w:val="22"/>
              </w:rPr>
              <w:t>“</w:t>
            </w:r>
            <w:r>
              <w:rPr>
                <w:rFonts w:asciiTheme="minorHAnsi" w:hAnsiTheme="minorHAnsi"/>
                <w:szCs w:val="22"/>
              </w:rPr>
              <w:t>Induced Demand</w:t>
            </w:r>
            <w:r w:rsidRPr="00990E9C">
              <w:rPr>
                <w:rFonts w:asciiTheme="minorHAnsi" w:hAnsiTheme="minorHAnsi"/>
                <w:szCs w:val="22"/>
              </w:rPr>
              <w:t>” column to separately capture the change in induced demand related to product shifts</w:t>
            </w:r>
            <w:r>
              <w:rPr>
                <w:rFonts w:asciiTheme="minorHAnsi" w:hAnsiTheme="minorHAnsi"/>
                <w:szCs w:val="22"/>
              </w:rPr>
              <w:t>.</w:t>
            </w:r>
          </w:p>
          <w:p w14:paraId="3012E896" w14:textId="77777777" w:rsidR="00247EAB" w:rsidRDefault="00247EAB" w:rsidP="005A7D2D">
            <w:pPr>
              <w:pStyle w:val="ListParagraph"/>
              <w:numPr>
                <w:ilvl w:val="0"/>
                <w:numId w:val="26"/>
              </w:numPr>
              <w:ind w:left="360"/>
              <w:rPr>
                <w:rFonts w:asciiTheme="minorHAnsi" w:hAnsiTheme="minorHAnsi"/>
                <w:szCs w:val="22"/>
              </w:rPr>
            </w:pPr>
            <w:r>
              <w:rPr>
                <w:rFonts w:asciiTheme="minorHAnsi" w:hAnsiTheme="minorHAnsi"/>
                <w:szCs w:val="22"/>
              </w:rPr>
              <w:t xml:space="preserve">Added </w:t>
            </w:r>
            <w:r w:rsidRPr="00990E9C">
              <w:rPr>
                <w:rFonts w:asciiTheme="minorHAnsi" w:hAnsiTheme="minorHAnsi"/>
                <w:szCs w:val="22"/>
              </w:rPr>
              <w:t>“Composite URRT Trend</w:t>
            </w:r>
            <w:r>
              <w:rPr>
                <w:rFonts w:asciiTheme="minorHAnsi" w:hAnsiTheme="minorHAnsi"/>
                <w:szCs w:val="22"/>
              </w:rPr>
              <w:t>,</w:t>
            </w:r>
            <w:r w:rsidRPr="00990E9C">
              <w:rPr>
                <w:rFonts w:asciiTheme="minorHAnsi" w:hAnsiTheme="minorHAnsi"/>
                <w:szCs w:val="22"/>
              </w:rPr>
              <w:t>” which includes the utilization impact of the change in induced demand.  This trend should match what is reported in Section II of the URRT and is not used in any calculations</w:t>
            </w:r>
            <w:r>
              <w:rPr>
                <w:rFonts w:asciiTheme="minorHAnsi" w:hAnsiTheme="minorHAnsi"/>
                <w:szCs w:val="22"/>
              </w:rPr>
              <w:t xml:space="preserve"> in the PA Actuarial Memorandum Exhibits</w:t>
            </w:r>
            <w:r w:rsidRPr="00990E9C">
              <w:rPr>
                <w:rFonts w:asciiTheme="minorHAnsi" w:hAnsiTheme="minorHAnsi"/>
                <w:szCs w:val="22"/>
              </w:rPr>
              <w:t>.</w:t>
            </w:r>
          </w:p>
          <w:p w14:paraId="20A645B2" w14:textId="59791F7F" w:rsidR="00247EAB" w:rsidRDefault="00247EAB" w:rsidP="005A7D2D">
            <w:pPr>
              <w:pStyle w:val="ListParagraph"/>
              <w:numPr>
                <w:ilvl w:val="0"/>
                <w:numId w:val="26"/>
              </w:numPr>
              <w:ind w:left="360"/>
              <w:rPr>
                <w:rFonts w:asciiTheme="minorHAnsi" w:hAnsiTheme="minorHAnsi"/>
                <w:szCs w:val="22"/>
              </w:rPr>
            </w:pPr>
            <w:r w:rsidRPr="009B0E18">
              <w:rPr>
                <w:rFonts w:asciiTheme="minorHAnsi" w:hAnsiTheme="minorHAnsi"/>
                <w:szCs w:val="22"/>
              </w:rPr>
              <w:t xml:space="preserve">Changed the </w:t>
            </w:r>
            <w:r>
              <w:rPr>
                <w:rFonts w:asciiTheme="minorHAnsi" w:hAnsiTheme="minorHAnsi"/>
                <w:szCs w:val="22"/>
              </w:rPr>
              <w:t>“</w:t>
            </w:r>
            <w:r w:rsidRPr="009B0E18">
              <w:rPr>
                <w:rFonts w:asciiTheme="minorHAnsi" w:hAnsiTheme="minorHAnsi"/>
                <w:szCs w:val="22"/>
              </w:rPr>
              <w:t>Trend</w:t>
            </w:r>
            <w:r>
              <w:rPr>
                <w:rFonts w:asciiTheme="minorHAnsi" w:hAnsiTheme="minorHAnsi"/>
                <w:szCs w:val="22"/>
              </w:rPr>
              <w:t>”</w:t>
            </w:r>
            <w:r w:rsidRPr="009B0E18">
              <w:rPr>
                <w:rFonts w:asciiTheme="minorHAnsi" w:hAnsiTheme="minorHAnsi"/>
                <w:szCs w:val="22"/>
              </w:rPr>
              <w:t xml:space="preserve"> </w:t>
            </w:r>
            <w:r>
              <w:rPr>
                <w:rFonts w:asciiTheme="minorHAnsi" w:hAnsiTheme="minorHAnsi"/>
                <w:szCs w:val="22"/>
              </w:rPr>
              <w:t>column</w:t>
            </w:r>
            <w:r w:rsidRPr="009B0E18">
              <w:rPr>
                <w:rFonts w:asciiTheme="minorHAnsi" w:hAnsiTheme="minorHAnsi"/>
                <w:szCs w:val="22"/>
              </w:rPr>
              <w:t xml:space="preserve"> to “Composite Pricing Trend.”  This trend does not include the impact of induced demand and is used to project the experience period data to the rating period.  </w:t>
            </w:r>
          </w:p>
          <w:p w14:paraId="60719C8E" w14:textId="77777777" w:rsidR="00247EAB" w:rsidRPr="009B0E18" w:rsidRDefault="00247EAB" w:rsidP="00247EAB">
            <w:pPr>
              <w:pStyle w:val="ListParagraph"/>
              <w:rPr>
                <w:rFonts w:asciiTheme="minorHAnsi" w:hAnsiTheme="minorHAnsi"/>
                <w:szCs w:val="22"/>
              </w:rPr>
            </w:pPr>
          </w:p>
        </w:tc>
      </w:tr>
      <w:tr w:rsidR="00247EAB" w:rsidRPr="00990E9C" w14:paraId="16D47A51" w14:textId="77777777" w:rsidTr="005A7D2D">
        <w:tc>
          <w:tcPr>
            <w:tcW w:w="1075" w:type="dxa"/>
          </w:tcPr>
          <w:p w14:paraId="06B14A4A" w14:textId="77777777" w:rsidR="00247EAB" w:rsidRPr="00990E9C" w:rsidRDefault="00247EAB" w:rsidP="00990E9C">
            <w:pPr>
              <w:jc w:val="right"/>
              <w:rPr>
                <w:rFonts w:asciiTheme="minorHAnsi" w:hAnsiTheme="minorHAnsi"/>
                <w:szCs w:val="22"/>
              </w:rPr>
            </w:pPr>
            <w:r w:rsidRPr="00990E9C">
              <w:rPr>
                <w:rFonts w:asciiTheme="minorHAnsi" w:hAnsiTheme="minorHAnsi"/>
                <w:szCs w:val="22"/>
              </w:rPr>
              <w:t>5.</w:t>
            </w:r>
          </w:p>
        </w:tc>
        <w:tc>
          <w:tcPr>
            <w:tcW w:w="8995" w:type="dxa"/>
          </w:tcPr>
          <w:p w14:paraId="5A7BA1DE" w14:textId="58CBB56A" w:rsidR="00247EAB" w:rsidRPr="00990E9C" w:rsidRDefault="00247EAB" w:rsidP="00A63B50">
            <w:pPr>
              <w:pStyle w:val="ListParagraph"/>
              <w:numPr>
                <w:ilvl w:val="0"/>
                <w:numId w:val="28"/>
              </w:numPr>
              <w:rPr>
                <w:rFonts w:asciiTheme="minorHAnsi" w:hAnsiTheme="minorHAnsi"/>
                <w:szCs w:val="22"/>
              </w:rPr>
            </w:pPr>
            <w:r w:rsidRPr="00990E9C">
              <w:rPr>
                <w:rFonts w:asciiTheme="minorHAnsi" w:hAnsiTheme="minorHAnsi"/>
                <w:szCs w:val="22"/>
              </w:rPr>
              <w:t>Split table into ‘Actual Experience Data’ and ‘Manual Data’ for the calculation of the Projected Index Rate.</w:t>
            </w:r>
          </w:p>
          <w:p w14:paraId="7E4E2453" w14:textId="6BC5B8C7" w:rsidR="00247EAB" w:rsidRPr="00271157" w:rsidRDefault="00247EAB" w:rsidP="005A7D2D">
            <w:pPr>
              <w:pStyle w:val="ListParagraph"/>
              <w:numPr>
                <w:ilvl w:val="0"/>
                <w:numId w:val="28"/>
              </w:numPr>
              <w:rPr>
                <w:rFonts w:asciiTheme="minorHAnsi" w:hAnsiTheme="minorHAnsi"/>
                <w:szCs w:val="22"/>
              </w:rPr>
            </w:pPr>
            <w:r w:rsidRPr="00990E9C">
              <w:rPr>
                <w:rFonts w:asciiTheme="minorHAnsi" w:hAnsiTheme="minorHAnsi"/>
                <w:szCs w:val="22"/>
              </w:rPr>
              <w:t xml:space="preserve">The formula for the Market-Adjusted Projected Paid EHB Claims PMPM has been changed so that the sign (+ or -) of the Projected Risk Adjustment PMPM is the same as the sign on URRT. </w:t>
            </w:r>
          </w:p>
        </w:tc>
      </w:tr>
      <w:tr w:rsidR="00247EAB" w:rsidRPr="00990E9C" w14:paraId="2334FD3C" w14:textId="77777777" w:rsidTr="005A7D2D">
        <w:trPr>
          <w:trHeight w:val="70"/>
        </w:trPr>
        <w:tc>
          <w:tcPr>
            <w:tcW w:w="1075" w:type="dxa"/>
          </w:tcPr>
          <w:p w14:paraId="70653A22" w14:textId="77777777" w:rsidR="00247EAB" w:rsidRPr="00990E9C" w:rsidRDefault="00247EAB" w:rsidP="00990E9C">
            <w:pPr>
              <w:jc w:val="right"/>
              <w:rPr>
                <w:rFonts w:asciiTheme="minorHAnsi" w:hAnsiTheme="minorHAnsi"/>
                <w:szCs w:val="22"/>
              </w:rPr>
            </w:pPr>
            <w:r w:rsidRPr="00990E9C">
              <w:rPr>
                <w:rFonts w:asciiTheme="minorHAnsi" w:hAnsiTheme="minorHAnsi"/>
                <w:szCs w:val="22"/>
              </w:rPr>
              <w:t>5.A.</w:t>
            </w:r>
          </w:p>
        </w:tc>
        <w:tc>
          <w:tcPr>
            <w:tcW w:w="8995" w:type="dxa"/>
          </w:tcPr>
          <w:p w14:paraId="767419D8" w14:textId="3E9EA96C" w:rsidR="00247EAB" w:rsidRPr="00990E9C" w:rsidRDefault="00247EAB" w:rsidP="00A63B50">
            <w:pPr>
              <w:pStyle w:val="ListParagraph"/>
              <w:numPr>
                <w:ilvl w:val="0"/>
                <w:numId w:val="30"/>
              </w:numPr>
              <w:rPr>
                <w:rFonts w:asciiTheme="minorHAnsi" w:hAnsiTheme="minorHAnsi"/>
                <w:szCs w:val="22"/>
              </w:rPr>
            </w:pPr>
            <w:r w:rsidRPr="00990E9C">
              <w:rPr>
                <w:rFonts w:asciiTheme="minorHAnsi" w:hAnsiTheme="minorHAnsi"/>
                <w:szCs w:val="22"/>
              </w:rPr>
              <w:t xml:space="preserve">Changed labels in row </w:t>
            </w:r>
            <w:r>
              <w:rPr>
                <w:rFonts w:asciiTheme="minorHAnsi" w:hAnsiTheme="minorHAnsi"/>
                <w:szCs w:val="22"/>
              </w:rPr>
              <w:t>28</w:t>
            </w:r>
          </w:p>
          <w:p w14:paraId="5F105819" w14:textId="77777777" w:rsidR="00247EAB" w:rsidRPr="00990E9C" w:rsidRDefault="00247EAB" w:rsidP="00A63B50">
            <w:pPr>
              <w:pStyle w:val="ListParagraph"/>
              <w:numPr>
                <w:ilvl w:val="0"/>
                <w:numId w:val="30"/>
              </w:numPr>
              <w:rPr>
                <w:rFonts w:asciiTheme="minorHAnsi" w:hAnsiTheme="minorHAnsi"/>
                <w:szCs w:val="22"/>
              </w:rPr>
            </w:pPr>
            <w:r w:rsidRPr="00990E9C">
              <w:rPr>
                <w:rFonts w:asciiTheme="minorHAnsi" w:hAnsiTheme="minorHAnsi"/>
                <w:szCs w:val="22"/>
              </w:rPr>
              <w:t>Added row 34 “Quarterly Trend Factor”</w:t>
            </w:r>
          </w:p>
          <w:p w14:paraId="11108ED4" w14:textId="77777777" w:rsidR="00247EAB" w:rsidRPr="00990E9C" w:rsidRDefault="00247EAB" w:rsidP="00A63B50">
            <w:pPr>
              <w:pStyle w:val="ListParagraph"/>
              <w:numPr>
                <w:ilvl w:val="0"/>
                <w:numId w:val="30"/>
              </w:numPr>
              <w:rPr>
                <w:rFonts w:asciiTheme="minorHAnsi" w:hAnsiTheme="minorHAnsi"/>
                <w:szCs w:val="22"/>
              </w:rPr>
            </w:pPr>
            <w:r w:rsidRPr="00990E9C">
              <w:rPr>
                <w:rFonts w:asciiTheme="minorHAnsi" w:hAnsiTheme="minorHAnsi"/>
                <w:szCs w:val="22"/>
              </w:rPr>
              <w:t xml:space="preserve">Added row 35 “2018 Trend Factors by Quarter” to be used in Table 11 to calculate the first quarter small group Consumer adjusted premium rates. </w:t>
            </w:r>
          </w:p>
          <w:p w14:paraId="43440307" w14:textId="77777777" w:rsidR="00247EAB" w:rsidRPr="00990E9C" w:rsidRDefault="00247EAB" w:rsidP="00990E9C">
            <w:pPr>
              <w:rPr>
                <w:rFonts w:asciiTheme="minorHAnsi" w:hAnsiTheme="minorHAnsi"/>
                <w:szCs w:val="22"/>
              </w:rPr>
            </w:pPr>
          </w:p>
        </w:tc>
      </w:tr>
      <w:tr w:rsidR="00247EAB" w:rsidRPr="00990E9C" w14:paraId="3087EAF8" w14:textId="77777777" w:rsidTr="005A7D2D">
        <w:trPr>
          <w:trHeight w:val="70"/>
        </w:trPr>
        <w:tc>
          <w:tcPr>
            <w:tcW w:w="1075" w:type="dxa"/>
          </w:tcPr>
          <w:p w14:paraId="42E3AA88" w14:textId="77777777" w:rsidR="00247EAB" w:rsidRPr="00990E9C" w:rsidRDefault="00247EAB" w:rsidP="00990E9C">
            <w:pPr>
              <w:jc w:val="right"/>
              <w:rPr>
                <w:rFonts w:asciiTheme="minorHAnsi" w:hAnsiTheme="minorHAnsi"/>
                <w:szCs w:val="22"/>
              </w:rPr>
            </w:pPr>
            <w:r w:rsidRPr="00990E9C">
              <w:rPr>
                <w:rFonts w:asciiTheme="minorHAnsi" w:hAnsiTheme="minorHAnsi"/>
                <w:szCs w:val="22"/>
              </w:rPr>
              <w:t>6.</w:t>
            </w:r>
          </w:p>
        </w:tc>
        <w:tc>
          <w:tcPr>
            <w:tcW w:w="8995" w:type="dxa"/>
          </w:tcPr>
          <w:p w14:paraId="3312050A" w14:textId="451A7DA3" w:rsidR="00247EAB" w:rsidRDefault="00247EAB" w:rsidP="00A63B50">
            <w:pPr>
              <w:pStyle w:val="ListParagraph"/>
              <w:numPr>
                <w:ilvl w:val="0"/>
                <w:numId w:val="31"/>
              </w:numPr>
              <w:rPr>
                <w:rFonts w:asciiTheme="minorHAnsi" w:hAnsiTheme="minorHAnsi"/>
                <w:szCs w:val="22"/>
              </w:rPr>
            </w:pPr>
            <w:r w:rsidRPr="00990E9C">
              <w:rPr>
                <w:rFonts w:asciiTheme="minorHAnsi" w:hAnsiTheme="minorHAnsi"/>
                <w:szCs w:val="22"/>
              </w:rPr>
              <w:t>Cell B54 now accepts a dollar amount for PCORI Fees</w:t>
            </w:r>
          </w:p>
          <w:p w14:paraId="55581E1C" w14:textId="77777777" w:rsidR="00247EAB" w:rsidRPr="00990E9C" w:rsidRDefault="00247EAB" w:rsidP="007F1F5F">
            <w:pPr>
              <w:pStyle w:val="ListParagraph"/>
              <w:rPr>
                <w:rFonts w:asciiTheme="minorHAnsi" w:hAnsiTheme="minorHAnsi"/>
                <w:szCs w:val="22"/>
              </w:rPr>
            </w:pPr>
          </w:p>
        </w:tc>
      </w:tr>
      <w:tr w:rsidR="00247EAB" w:rsidRPr="00990E9C" w14:paraId="1C7027B2" w14:textId="77777777" w:rsidTr="005A7D2D">
        <w:trPr>
          <w:trHeight w:val="800"/>
        </w:trPr>
        <w:tc>
          <w:tcPr>
            <w:tcW w:w="1075" w:type="dxa"/>
          </w:tcPr>
          <w:p w14:paraId="3719D9CA" w14:textId="15AFA405" w:rsidR="00247EAB" w:rsidRPr="00990E9C" w:rsidRDefault="00247EAB" w:rsidP="00990E9C">
            <w:pPr>
              <w:jc w:val="right"/>
              <w:rPr>
                <w:rFonts w:asciiTheme="minorHAnsi" w:hAnsiTheme="minorHAnsi"/>
                <w:szCs w:val="22"/>
              </w:rPr>
            </w:pPr>
            <w:r>
              <w:rPr>
                <w:rFonts w:asciiTheme="minorHAnsi" w:hAnsiTheme="minorHAnsi"/>
                <w:szCs w:val="22"/>
              </w:rPr>
              <w:t>10.</w:t>
            </w:r>
          </w:p>
        </w:tc>
        <w:tc>
          <w:tcPr>
            <w:tcW w:w="8995" w:type="dxa"/>
          </w:tcPr>
          <w:p w14:paraId="0E340AD1" w14:textId="77777777" w:rsidR="00247EAB" w:rsidRPr="00990E9C" w:rsidRDefault="00247EAB" w:rsidP="00A63B50">
            <w:pPr>
              <w:pStyle w:val="ListParagraph"/>
              <w:numPr>
                <w:ilvl w:val="0"/>
                <w:numId w:val="32"/>
              </w:numPr>
              <w:rPr>
                <w:rFonts w:asciiTheme="minorHAnsi" w:hAnsiTheme="minorHAnsi"/>
                <w:szCs w:val="22"/>
              </w:rPr>
            </w:pPr>
            <w:r w:rsidRPr="00990E9C">
              <w:rPr>
                <w:rFonts w:asciiTheme="minorHAnsi" w:hAnsiTheme="minorHAnsi"/>
                <w:szCs w:val="22"/>
              </w:rPr>
              <w:t xml:space="preserve">Changed </w:t>
            </w:r>
            <w:r>
              <w:rPr>
                <w:rFonts w:asciiTheme="minorHAnsi" w:hAnsiTheme="minorHAnsi"/>
                <w:szCs w:val="22"/>
              </w:rPr>
              <w:t xml:space="preserve">column F </w:t>
            </w:r>
            <w:r w:rsidRPr="00990E9C">
              <w:rPr>
                <w:rFonts w:asciiTheme="minorHAnsi" w:hAnsiTheme="minorHAnsi"/>
                <w:szCs w:val="22"/>
              </w:rPr>
              <w:t xml:space="preserve">from </w:t>
            </w:r>
            <w:r>
              <w:rPr>
                <w:rFonts w:asciiTheme="minorHAnsi" w:hAnsiTheme="minorHAnsi"/>
                <w:szCs w:val="22"/>
              </w:rPr>
              <w:t>“</w:t>
            </w:r>
            <w:r w:rsidRPr="00990E9C">
              <w:rPr>
                <w:rFonts w:asciiTheme="minorHAnsi" w:hAnsiTheme="minorHAnsi"/>
                <w:szCs w:val="22"/>
              </w:rPr>
              <w:t>2018 Plan Marketing Name</w:t>
            </w:r>
            <w:r>
              <w:rPr>
                <w:rFonts w:asciiTheme="minorHAnsi" w:hAnsiTheme="minorHAnsi"/>
                <w:szCs w:val="22"/>
              </w:rPr>
              <w:t>”</w:t>
            </w:r>
            <w:r w:rsidRPr="00990E9C">
              <w:rPr>
                <w:rFonts w:asciiTheme="minorHAnsi" w:hAnsiTheme="minorHAnsi"/>
                <w:szCs w:val="22"/>
              </w:rPr>
              <w:t xml:space="preserve"> to </w:t>
            </w:r>
            <w:r>
              <w:rPr>
                <w:rFonts w:asciiTheme="minorHAnsi" w:hAnsiTheme="minorHAnsi"/>
                <w:szCs w:val="22"/>
              </w:rPr>
              <w:t>“</w:t>
            </w:r>
            <w:r w:rsidRPr="00990E9C">
              <w:rPr>
                <w:rFonts w:asciiTheme="minorHAnsi" w:hAnsiTheme="minorHAnsi"/>
                <w:szCs w:val="22"/>
              </w:rPr>
              <w:t>2018 HIOS Plan ID.</w:t>
            </w:r>
            <w:r>
              <w:rPr>
                <w:rFonts w:asciiTheme="minorHAnsi" w:hAnsiTheme="minorHAnsi"/>
                <w:szCs w:val="22"/>
              </w:rPr>
              <w:t>”</w:t>
            </w:r>
          </w:p>
          <w:p w14:paraId="7D8FB3D6" w14:textId="77777777" w:rsidR="00247EAB" w:rsidRDefault="00247EAB" w:rsidP="00A63B50">
            <w:pPr>
              <w:pStyle w:val="ListParagraph"/>
              <w:numPr>
                <w:ilvl w:val="0"/>
                <w:numId w:val="32"/>
              </w:numPr>
              <w:rPr>
                <w:rFonts w:asciiTheme="minorHAnsi" w:hAnsiTheme="minorHAnsi"/>
                <w:szCs w:val="22"/>
              </w:rPr>
            </w:pPr>
            <w:r w:rsidRPr="00990E9C">
              <w:rPr>
                <w:rFonts w:asciiTheme="minorHAnsi" w:hAnsiTheme="minorHAnsi"/>
                <w:szCs w:val="22"/>
              </w:rPr>
              <w:t>Moved the ‘Number of Covered Lives by Rating Area’ from Table 11 to the end of Table 10.</w:t>
            </w:r>
          </w:p>
          <w:p w14:paraId="3D7CBF42" w14:textId="77777777" w:rsidR="00247EAB" w:rsidRDefault="00247EAB" w:rsidP="00A63B50">
            <w:pPr>
              <w:pStyle w:val="ListParagraph"/>
              <w:numPr>
                <w:ilvl w:val="0"/>
                <w:numId w:val="32"/>
              </w:numPr>
              <w:rPr>
                <w:rFonts w:asciiTheme="minorHAnsi" w:hAnsiTheme="minorHAnsi"/>
                <w:szCs w:val="22"/>
              </w:rPr>
            </w:pPr>
            <w:r>
              <w:rPr>
                <w:rFonts w:asciiTheme="minorHAnsi" w:hAnsiTheme="minorHAnsi"/>
                <w:szCs w:val="22"/>
              </w:rPr>
              <w:t>Provided more detailed instructions on mapping plans in this guidance.</w:t>
            </w:r>
          </w:p>
          <w:p w14:paraId="75C4DD71" w14:textId="75C22B4D" w:rsidR="00247EAB" w:rsidRPr="00247EAB" w:rsidRDefault="00247EAB" w:rsidP="00A63B50">
            <w:pPr>
              <w:pStyle w:val="ListParagraph"/>
              <w:numPr>
                <w:ilvl w:val="0"/>
                <w:numId w:val="32"/>
              </w:numPr>
              <w:rPr>
                <w:rFonts w:asciiTheme="minorHAnsi" w:hAnsiTheme="minorHAnsi"/>
                <w:szCs w:val="22"/>
              </w:rPr>
            </w:pPr>
            <w:r w:rsidRPr="00247EAB">
              <w:rPr>
                <w:rFonts w:asciiTheme="minorHAnsi" w:hAnsiTheme="minorHAnsi"/>
                <w:szCs w:val="22"/>
              </w:rPr>
              <w:t>Added instructions for additional “Induced Utilization Exhibit” to this guidance. No table is provided for this purpose in the Departmental Rate Exhibits, so the insurer should separate create and submit this table.</w:t>
            </w:r>
          </w:p>
        </w:tc>
      </w:tr>
      <w:tr w:rsidR="00247EAB" w:rsidRPr="00990E9C" w14:paraId="3E98DF11" w14:textId="77777777" w:rsidTr="005A7D2D">
        <w:trPr>
          <w:trHeight w:val="800"/>
        </w:trPr>
        <w:tc>
          <w:tcPr>
            <w:tcW w:w="1075" w:type="dxa"/>
          </w:tcPr>
          <w:p w14:paraId="42ECCE0E" w14:textId="77777777" w:rsidR="00247EAB" w:rsidRPr="00990E9C" w:rsidRDefault="00247EAB" w:rsidP="00990E9C">
            <w:pPr>
              <w:jc w:val="right"/>
              <w:rPr>
                <w:rFonts w:asciiTheme="minorHAnsi" w:hAnsiTheme="minorHAnsi"/>
                <w:szCs w:val="22"/>
              </w:rPr>
            </w:pPr>
            <w:r w:rsidRPr="00990E9C">
              <w:rPr>
                <w:rFonts w:asciiTheme="minorHAnsi" w:hAnsiTheme="minorHAnsi"/>
                <w:szCs w:val="22"/>
              </w:rPr>
              <w:t>11.</w:t>
            </w:r>
          </w:p>
        </w:tc>
        <w:tc>
          <w:tcPr>
            <w:tcW w:w="8995" w:type="dxa"/>
          </w:tcPr>
          <w:p w14:paraId="11A9B945" w14:textId="12F43DF1" w:rsidR="00247EAB" w:rsidRPr="00990E9C" w:rsidRDefault="00247EAB" w:rsidP="00990E9C">
            <w:pPr>
              <w:spacing w:after="160" w:line="259" w:lineRule="auto"/>
              <w:rPr>
                <w:rFonts w:asciiTheme="minorHAnsi" w:hAnsiTheme="minorHAnsi"/>
                <w:szCs w:val="22"/>
              </w:rPr>
            </w:pPr>
            <w:r>
              <w:rPr>
                <w:rFonts w:asciiTheme="minorHAnsi" w:hAnsiTheme="minorHAnsi"/>
                <w:szCs w:val="22"/>
              </w:rPr>
              <w:t>Instead of using a single table for both individual and small group filings, we have split table 11 into two tables, each on its own tab</w:t>
            </w:r>
            <w:r w:rsidRPr="00990E9C">
              <w:rPr>
                <w:rFonts w:asciiTheme="minorHAnsi" w:hAnsiTheme="minorHAnsi"/>
                <w:szCs w:val="22"/>
              </w:rPr>
              <w:t xml:space="preserve">: </w:t>
            </w:r>
            <w:r>
              <w:rPr>
                <w:rFonts w:asciiTheme="minorHAnsi" w:hAnsiTheme="minorHAnsi"/>
                <w:szCs w:val="22"/>
              </w:rPr>
              <w:t xml:space="preserve">“PA Plan Premiums </w:t>
            </w:r>
            <w:r w:rsidRPr="00990E9C">
              <w:rPr>
                <w:rFonts w:asciiTheme="minorHAnsi" w:hAnsiTheme="minorHAnsi"/>
                <w:szCs w:val="22"/>
              </w:rPr>
              <w:t>Individual</w:t>
            </w:r>
            <w:r>
              <w:rPr>
                <w:rFonts w:asciiTheme="minorHAnsi" w:hAnsiTheme="minorHAnsi"/>
                <w:szCs w:val="22"/>
              </w:rPr>
              <w:t>”</w:t>
            </w:r>
            <w:r w:rsidRPr="00990E9C">
              <w:rPr>
                <w:rFonts w:asciiTheme="minorHAnsi" w:hAnsiTheme="minorHAnsi"/>
                <w:szCs w:val="22"/>
              </w:rPr>
              <w:t xml:space="preserve"> and </w:t>
            </w:r>
            <w:r>
              <w:rPr>
                <w:rFonts w:asciiTheme="minorHAnsi" w:hAnsiTheme="minorHAnsi"/>
                <w:szCs w:val="22"/>
              </w:rPr>
              <w:t>“Plan Premiums SG</w:t>
            </w:r>
            <w:r w:rsidRPr="00990E9C">
              <w:rPr>
                <w:rFonts w:asciiTheme="minorHAnsi" w:hAnsiTheme="minorHAnsi"/>
                <w:szCs w:val="22"/>
              </w:rPr>
              <w:t xml:space="preserve"> Annual</w:t>
            </w:r>
            <w:r>
              <w:rPr>
                <w:rFonts w:asciiTheme="minorHAnsi" w:hAnsiTheme="minorHAnsi"/>
                <w:szCs w:val="22"/>
              </w:rPr>
              <w:t>”. Based on the m</w:t>
            </w:r>
            <w:r w:rsidRPr="00990E9C">
              <w:rPr>
                <w:rFonts w:asciiTheme="minorHAnsi" w:hAnsiTheme="minorHAnsi"/>
                <w:szCs w:val="22"/>
              </w:rPr>
              <w:t>ark</w:t>
            </w:r>
            <w:r>
              <w:rPr>
                <w:rFonts w:asciiTheme="minorHAnsi" w:hAnsiTheme="minorHAnsi"/>
                <w:szCs w:val="22"/>
              </w:rPr>
              <w:t>et segment selected, the other t</w:t>
            </w:r>
            <w:r w:rsidRPr="00990E9C">
              <w:rPr>
                <w:rFonts w:asciiTheme="minorHAnsi" w:hAnsiTheme="minorHAnsi"/>
                <w:szCs w:val="22"/>
              </w:rPr>
              <w:t>ab for Table 11 must be deleted or hidden.</w:t>
            </w:r>
          </w:p>
          <w:p w14:paraId="373538CD" w14:textId="77777777" w:rsidR="00247EAB" w:rsidRPr="00990E9C" w:rsidRDefault="00247EAB" w:rsidP="00A63B50">
            <w:pPr>
              <w:pStyle w:val="ListParagraph"/>
              <w:numPr>
                <w:ilvl w:val="0"/>
                <w:numId w:val="33"/>
              </w:numPr>
              <w:rPr>
                <w:rFonts w:asciiTheme="minorHAnsi" w:hAnsiTheme="minorHAnsi"/>
                <w:szCs w:val="22"/>
              </w:rPr>
            </w:pPr>
            <w:r>
              <w:rPr>
                <w:rFonts w:asciiTheme="minorHAnsi" w:hAnsiTheme="minorHAnsi"/>
                <w:szCs w:val="22"/>
              </w:rPr>
              <w:t>If Market s</w:t>
            </w:r>
            <w:r w:rsidRPr="00990E9C">
              <w:rPr>
                <w:rFonts w:asciiTheme="minorHAnsi" w:hAnsiTheme="minorHAnsi"/>
                <w:szCs w:val="22"/>
              </w:rPr>
              <w:t xml:space="preserve">egment is </w:t>
            </w:r>
            <w:r w:rsidRPr="007F1F5F">
              <w:rPr>
                <w:rFonts w:asciiTheme="minorHAnsi" w:hAnsiTheme="minorHAnsi"/>
                <w:szCs w:val="22"/>
              </w:rPr>
              <w:t>Individual</w:t>
            </w:r>
            <w:r w:rsidRPr="00990E9C">
              <w:rPr>
                <w:rFonts w:asciiTheme="minorHAnsi" w:hAnsiTheme="minorHAnsi"/>
                <w:szCs w:val="22"/>
              </w:rPr>
              <w:t>, the Annual Rates for by Rating Area are auto-calculated and no data entry is required.</w:t>
            </w:r>
          </w:p>
          <w:p w14:paraId="5980D5DA" w14:textId="535C4A34" w:rsidR="00247EAB" w:rsidRPr="00247EAB" w:rsidRDefault="00247EAB" w:rsidP="00A63B50">
            <w:pPr>
              <w:pStyle w:val="ListParagraph"/>
              <w:numPr>
                <w:ilvl w:val="0"/>
                <w:numId w:val="33"/>
              </w:numPr>
              <w:rPr>
                <w:rFonts w:asciiTheme="minorHAnsi" w:hAnsiTheme="minorHAnsi"/>
                <w:szCs w:val="22"/>
              </w:rPr>
            </w:pPr>
            <w:r>
              <w:rPr>
                <w:rFonts w:asciiTheme="minorHAnsi" w:hAnsiTheme="minorHAnsi"/>
                <w:szCs w:val="22"/>
              </w:rPr>
              <w:t>If Market s</w:t>
            </w:r>
            <w:r w:rsidRPr="00990E9C">
              <w:rPr>
                <w:rFonts w:asciiTheme="minorHAnsi" w:hAnsiTheme="minorHAnsi"/>
                <w:szCs w:val="22"/>
              </w:rPr>
              <w:t xml:space="preserve">egment is </w:t>
            </w:r>
            <w:r w:rsidRPr="007F1F5F">
              <w:rPr>
                <w:rFonts w:asciiTheme="minorHAnsi" w:hAnsiTheme="minorHAnsi"/>
                <w:szCs w:val="22"/>
              </w:rPr>
              <w:t xml:space="preserve">Small Group Annual, </w:t>
            </w:r>
            <w:r w:rsidRPr="00990E9C">
              <w:rPr>
                <w:rFonts w:asciiTheme="minorHAnsi" w:hAnsiTheme="minorHAnsi"/>
                <w:szCs w:val="22"/>
              </w:rPr>
              <w:t>the rates for all the four quarters of 2018 are auto-calculated. However</w:t>
            </w:r>
            <w:r>
              <w:rPr>
                <w:rFonts w:asciiTheme="minorHAnsi" w:hAnsiTheme="minorHAnsi"/>
                <w:szCs w:val="22"/>
              </w:rPr>
              <w:t>, the first q</w:t>
            </w:r>
            <w:r w:rsidRPr="00990E9C">
              <w:rPr>
                <w:rFonts w:asciiTheme="minorHAnsi" w:hAnsiTheme="minorHAnsi"/>
                <w:szCs w:val="22"/>
              </w:rPr>
              <w:t>uarter 2017 approved rates must be entered in the yellow section.</w:t>
            </w:r>
          </w:p>
        </w:tc>
      </w:tr>
      <w:tr w:rsidR="00247EAB" w:rsidRPr="00990E9C" w14:paraId="55929EEB" w14:textId="77777777" w:rsidTr="005A7D2D">
        <w:trPr>
          <w:trHeight w:val="70"/>
        </w:trPr>
        <w:tc>
          <w:tcPr>
            <w:tcW w:w="1075" w:type="dxa"/>
          </w:tcPr>
          <w:p w14:paraId="09B264F9" w14:textId="77777777" w:rsidR="00247EAB" w:rsidRPr="00990E9C" w:rsidRDefault="00247EAB" w:rsidP="00990E9C">
            <w:pPr>
              <w:jc w:val="right"/>
              <w:rPr>
                <w:rFonts w:asciiTheme="minorHAnsi" w:hAnsiTheme="minorHAnsi"/>
                <w:szCs w:val="22"/>
              </w:rPr>
            </w:pPr>
            <w:r w:rsidRPr="00990E9C">
              <w:rPr>
                <w:rFonts w:asciiTheme="minorHAnsi" w:hAnsiTheme="minorHAnsi"/>
                <w:szCs w:val="22"/>
              </w:rPr>
              <w:t xml:space="preserve">12. </w:t>
            </w:r>
          </w:p>
        </w:tc>
        <w:tc>
          <w:tcPr>
            <w:tcW w:w="8995" w:type="dxa"/>
          </w:tcPr>
          <w:p w14:paraId="1BD8571C" w14:textId="71D3223F" w:rsidR="00247EAB" w:rsidRPr="00990E9C" w:rsidRDefault="00247EAB" w:rsidP="00990E9C">
            <w:pPr>
              <w:rPr>
                <w:rFonts w:asciiTheme="minorHAnsi" w:hAnsiTheme="minorHAnsi"/>
                <w:szCs w:val="22"/>
              </w:rPr>
            </w:pPr>
            <w:r w:rsidRPr="00990E9C">
              <w:rPr>
                <w:rFonts w:asciiTheme="minorHAnsi" w:hAnsiTheme="minorHAnsi"/>
                <w:szCs w:val="22"/>
              </w:rPr>
              <w:t>Updated child age bands and now allow for the tobacco surcharge to apply to age 18+.</w:t>
            </w:r>
          </w:p>
        </w:tc>
      </w:tr>
      <w:tr w:rsidR="005A7D2D" w:rsidRPr="00990E9C" w14:paraId="6F717ECF" w14:textId="77777777" w:rsidTr="005A7D2D">
        <w:trPr>
          <w:trHeight w:val="70"/>
        </w:trPr>
        <w:tc>
          <w:tcPr>
            <w:tcW w:w="1075" w:type="dxa"/>
          </w:tcPr>
          <w:p w14:paraId="364212EC" w14:textId="48A2DE11" w:rsidR="005A7D2D" w:rsidRPr="00990E9C" w:rsidRDefault="005A7D2D" w:rsidP="00990E9C">
            <w:pPr>
              <w:jc w:val="right"/>
              <w:rPr>
                <w:rFonts w:asciiTheme="minorHAnsi" w:hAnsiTheme="minorHAnsi"/>
                <w:szCs w:val="22"/>
              </w:rPr>
            </w:pPr>
            <w:bookmarkStart w:id="5" w:name="_Toc474316415"/>
            <w:r w:rsidRPr="005A7D2D">
              <w:rPr>
                <w:rFonts w:asciiTheme="minorHAnsi" w:hAnsiTheme="minorHAnsi"/>
                <w:szCs w:val="22"/>
              </w:rPr>
              <w:t>PA Plan Design Summary and Rate Tables</w:t>
            </w:r>
          </w:p>
        </w:tc>
        <w:tc>
          <w:tcPr>
            <w:tcW w:w="8995" w:type="dxa"/>
          </w:tcPr>
          <w:p w14:paraId="24C55732" w14:textId="77777777" w:rsidR="005A7D2D" w:rsidRDefault="005A7D2D" w:rsidP="005A7D2D">
            <w:pPr>
              <w:pStyle w:val="ListParagraph"/>
              <w:numPr>
                <w:ilvl w:val="0"/>
                <w:numId w:val="43"/>
              </w:numPr>
              <w:rPr>
                <w:rFonts w:asciiTheme="minorHAnsi" w:hAnsiTheme="minorHAnsi"/>
                <w:szCs w:val="22"/>
              </w:rPr>
            </w:pPr>
            <w:r w:rsidRPr="005A7D2D">
              <w:rPr>
                <w:rFonts w:asciiTheme="minorHAnsi" w:hAnsiTheme="minorHAnsi"/>
                <w:szCs w:val="22"/>
              </w:rPr>
              <w:t>Deleted the “On-Exchange Silver Plan Premium” and “Off-Exchange Silver Plan Premium” tabs.</w:t>
            </w:r>
          </w:p>
          <w:p w14:paraId="25037D95" w14:textId="77777777" w:rsidR="008A34E0" w:rsidRDefault="005A7D2D" w:rsidP="005A7D2D">
            <w:pPr>
              <w:pStyle w:val="ListParagraph"/>
              <w:numPr>
                <w:ilvl w:val="0"/>
                <w:numId w:val="43"/>
              </w:numPr>
              <w:rPr>
                <w:rFonts w:asciiTheme="minorHAnsi" w:hAnsiTheme="minorHAnsi"/>
                <w:szCs w:val="22"/>
              </w:rPr>
            </w:pPr>
            <w:r>
              <w:rPr>
                <w:rFonts w:asciiTheme="minorHAnsi" w:hAnsiTheme="minorHAnsi"/>
                <w:szCs w:val="22"/>
              </w:rPr>
              <w:t xml:space="preserve">Changed column I on the Plan Design Summary tab to </w:t>
            </w:r>
            <w:r w:rsidR="008A34E0">
              <w:rPr>
                <w:rFonts w:asciiTheme="minorHAnsi" w:hAnsiTheme="minorHAnsi"/>
                <w:szCs w:val="22"/>
              </w:rPr>
              <w:t>require “Counties Covered” instead of “Counties Excluded.”</w:t>
            </w:r>
          </w:p>
          <w:p w14:paraId="1FDCA9F9" w14:textId="212A33C9" w:rsidR="005A7D2D" w:rsidRPr="005A7D2D" w:rsidRDefault="008A34E0" w:rsidP="005A7D2D">
            <w:pPr>
              <w:pStyle w:val="ListParagraph"/>
              <w:numPr>
                <w:ilvl w:val="0"/>
                <w:numId w:val="43"/>
              </w:numPr>
              <w:rPr>
                <w:rFonts w:asciiTheme="minorHAnsi" w:hAnsiTheme="minorHAnsi"/>
                <w:szCs w:val="22"/>
              </w:rPr>
            </w:pPr>
            <w:r>
              <w:rPr>
                <w:rFonts w:asciiTheme="minorHAnsi" w:hAnsiTheme="minorHAnsi"/>
                <w:szCs w:val="22"/>
              </w:rPr>
              <w:t>Added a “Rates by County” tab.</w:t>
            </w:r>
            <w:r w:rsidR="005A7D2D">
              <w:rPr>
                <w:rFonts w:asciiTheme="minorHAnsi" w:hAnsiTheme="minorHAnsi"/>
                <w:szCs w:val="22"/>
              </w:rPr>
              <w:t xml:space="preserve"> </w:t>
            </w:r>
          </w:p>
        </w:tc>
      </w:tr>
    </w:tbl>
    <w:p w14:paraId="7BCC00D5" w14:textId="77777777" w:rsidR="00D95DB4" w:rsidRPr="00BA64B4" w:rsidRDefault="00F976EB" w:rsidP="00271157">
      <w:pPr>
        <w:pStyle w:val="Title"/>
        <w:spacing w:before="1080"/>
        <w:rPr>
          <w:rFonts w:asciiTheme="minorHAnsi" w:hAnsiTheme="minorHAnsi"/>
        </w:rPr>
      </w:pPr>
      <w:r w:rsidRPr="00BA64B4">
        <w:rPr>
          <w:rFonts w:asciiTheme="minorHAnsi" w:hAnsiTheme="minorHAnsi"/>
        </w:rPr>
        <w:lastRenderedPageBreak/>
        <w:t>General</w:t>
      </w:r>
      <w:r w:rsidR="00D95DB4" w:rsidRPr="00BA64B4">
        <w:rPr>
          <w:rFonts w:asciiTheme="minorHAnsi" w:hAnsiTheme="minorHAnsi"/>
        </w:rPr>
        <w:t xml:space="preserve"> Instructions</w:t>
      </w:r>
      <w:bookmarkEnd w:id="2"/>
      <w:bookmarkEnd w:id="1"/>
      <w:bookmarkEnd w:id="0"/>
      <w:bookmarkEnd w:id="3"/>
      <w:bookmarkEnd w:id="5"/>
    </w:p>
    <w:p w14:paraId="5C48E13D" w14:textId="77777777" w:rsidR="00460F65" w:rsidRDefault="00460F65" w:rsidP="00C41407">
      <w:pPr>
        <w:rPr>
          <w:rFonts w:asciiTheme="minorHAnsi" w:hAnsiTheme="minorHAnsi"/>
        </w:rPr>
      </w:pPr>
      <w:r w:rsidRPr="00BA64B4">
        <w:rPr>
          <w:rFonts w:asciiTheme="minorHAnsi" w:hAnsiTheme="minorHAnsi"/>
        </w:rPr>
        <w:t>This document outlines the rate filing requirements for all ACA</w:t>
      </w:r>
      <w:r w:rsidR="00C41407" w:rsidRPr="00BA64B4">
        <w:rPr>
          <w:rFonts w:asciiTheme="minorHAnsi" w:hAnsiTheme="minorHAnsi"/>
        </w:rPr>
        <w:t>-</w:t>
      </w:r>
      <w:r w:rsidRPr="00BA64B4">
        <w:rPr>
          <w:rFonts w:asciiTheme="minorHAnsi" w:hAnsiTheme="minorHAnsi"/>
        </w:rPr>
        <w:t>compliant plans</w:t>
      </w:r>
      <w:r w:rsidR="00C41407" w:rsidRPr="00BA64B4">
        <w:rPr>
          <w:rFonts w:asciiTheme="minorHAnsi" w:hAnsiTheme="minorHAnsi"/>
        </w:rPr>
        <w:t xml:space="preserve"> </w:t>
      </w:r>
      <w:r w:rsidRPr="00BA64B4">
        <w:rPr>
          <w:rFonts w:asciiTheme="minorHAnsi" w:hAnsiTheme="minorHAnsi"/>
        </w:rPr>
        <w:t xml:space="preserve">offered in Pennsylvania.  </w:t>
      </w:r>
      <w:r w:rsidR="00C41407" w:rsidRPr="00BA64B4">
        <w:rPr>
          <w:rFonts w:asciiTheme="minorHAnsi" w:hAnsiTheme="minorHAnsi"/>
        </w:rPr>
        <w:t xml:space="preserve">The term “ACA-compliant plans” refers to those plans that are regulated under the single risk pool requirements in the ACA, and which must follow </w:t>
      </w:r>
      <w:r w:rsidR="008F79A2" w:rsidRPr="00BA64B4">
        <w:rPr>
          <w:rFonts w:asciiTheme="minorHAnsi" w:hAnsiTheme="minorHAnsi"/>
        </w:rPr>
        <w:t>all</w:t>
      </w:r>
      <w:r w:rsidR="00C41407" w:rsidRPr="00BA64B4">
        <w:rPr>
          <w:rFonts w:asciiTheme="minorHAnsi" w:hAnsiTheme="minorHAnsi"/>
        </w:rPr>
        <w:t xml:space="preserve"> ACA health reform rating rules. This </w:t>
      </w:r>
      <w:r w:rsidR="00104095">
        <w:rPr>
          <w:rFonts w:asciiTheme="minorHAnsi" w:hAnsiTheme="minorHAnsi"/>
        </w:rPr>
        <w:t xml:space="preserve">term </w:t>
      </w:r>
      <w:r w:rsidR="00C41407" w:rsidRPr="00BA64B4">
        <w:rPr>
          <w:rFonts w:asciiTheme="minorHAnsi" w:hAnsiTheme="minorHAnsi"/>
        </w:rPr>
        <w:t>excludes grandfathered</w:t>
      </w:r>
      <w:r w:rsidR="008F79A2" w:rsidRPr="00BA64B4">
        <w:rPr>
          <w:rFonts w:asciiTheme="minorHAnsi" w:hAnsiTheme="minorHAnsi"/>
        </w:rPr>
        <w:t>,</w:t>
      </w:r>
      <w:r w:rsidR="00C41407" w:rsidRPr="00BA64B4">
        <w:rPr>
          <w:rFonts w:asciiTheme="minorHAnsi" w:hAnsiTheme="minorHAnsi"/>
        </w:rPr>
        <w:t xml:space="preserve"> transitional</w:t>
      </w:r>
      <w:r w:rsidR="008F79A2" w:rsidRPr="00BA64B4">
        <w:rPr>
          <w:rFonts w:asciiTheme="minorHAnsi" w:hAnsiTheme="minorHAnsi"/>
        </w:rPr>
        <w:t>, and s</w:t>
      </w:r>
      <w:r w:rsidR="00C41407" w:rsidRPr="00BA64B4">
        <w:rPr>
          <w:rFonts w:asciiTheme="minorHAnsi" w:hAnsiTheme="minorHAnsi"/>
        </w:rPr>
        <w:t>tudent health plans</w:t>
      </w:r>
      <w:r w:rsidR="008F79A2" w:rsidRPr="00BA64B4">
        <w:rPr>
          <w:rFonts w:asciiTheme="minorHAnsi" w:hAnsiTheme="minorHAnsi"/>
        </w:rPr>
        <w:t>.</w:t>
      </w:r>
      <w:r w:rsidR="00AA1418" w:rsidRPr="00BA64B4">
        <w:rPr>
          <w:rFonts w:asciiTheme="minorHAnsi" w:hAnsiTheme="minorHAnsi"/>
        </w:rPr>
        <w:t xml:space="preserve"> </w:t>
      </w:r>
      <w:r w:rsidR="00333E71">
        <w:rPr>
          <w:rFonts w:asciiTheme="minorHAnsi" w:hAnsiTheme="minorHAnsi"/>
        </w:rPr>
        <w:t>S</w:t>
      </w:r>
      <w:r w:rsidR="00AA1418" w:rsidRPr="00BA64B4">
        <w:rPr>
          <w:rFonts w:asciiTheme="minorHAnsi" w:hAnsiTheme="minorHAnsi"/>
        </w:rPr>
        <w:t xml:space="preserve">tudent health </w:t>
      </w:r>
      <w:r w:rsidR="00333E71">
        <w:rPr>
          <w:rFonts w:asciiTheme="minorHAnsi" w:hAnsiTheme="minorHAnsi"/>
        </w:rPr>
        <w:t>guidance is posted on the Department’s website at</w:t>
      </w:r>
      <w:r w:rsidR="003B4FBB">
        <w:rPr>
          <w:rFonts w:asciiTheme="minorHAnsi" w:hAnsiTheme="minorHAnsi"/>
        </w:rPr>
        <w:t xml:space="preserve"> </w:t>
      </w:r>
      <w:hyperlink r:id="rId18" w:history="1">
        <w:r w:rsidR="00990E9C" w:rsidRPr="000D3D18">
          <w:rPr>
            <w:rStyle w:val="Hyperlink"/>
            <w:rFonts w:asciiTheme="minorHAnsi" w:hAnsiTheme="minorHAnsi"/>
          </w:rPr>
          <w:t>http://www.insurance.pa.gov/Companies/ProductAndRateRequire/Pages/default.aspx</w:t>
        </w:r>
      </w:hyperlink>
      <w:r w:rsidR="00AA1418" w:rsidRPr="00BA64B4">
        <w:rPr>
          <w:rFonts w:asciiTheme="minorHAnsi" w:hAnsiTheme="minorHAnsi"/>
        </w:rPr>
        <w:t>.</w:t>
      </w:r>
      <w:r w:rsidRPr="00BA64B4">
        <w:rPr>
          <w:rFonts w:asciiTheme="minorHAnsi" w:hAnsiTheme="minorHAnsi"/>
        </w:rPr>
        <w:t xml:space="preserve"> </w:t>
      </w:r>
      <w:r w:rsidR="00C41407" w:rsidRPr="00BA64B4">
        <w:rPr>
          <w:rFonts w:asciiTheme="minorHAnsi" w:hAnsiTheme="minorHAnsi"/>
        </w:rPr>
        <w:t>T</w:t>
      </w:r>
      <w:r w:rsidR="00CA1DC4" w:rsidRPr="00BA64B4">
        <w:rPr>
          <w:rFonts w:asciiTheme="minorHAnsi" w:hAnsiTheme="minorHAnsi"/>
        </w:rPr>
        <w:t>he standardization of rate submissions provide</w:t>
      </w:r>
      <w:r w:rsidR="0002505D">
        <w:rPr>
          <w:rFonts w:asciiTheme="minorHAnsi" w:hAnsiTheme="minorHAnsi"/>
        </w:rPr>
        <w:t>s</w:t>
      </w:r>
      <w:r w:rsidR="00CA1DC4" w:rsidRPr="00BA64B4">
        <w:rPr>
          <w:rFonts w:asciiTheme="minorHAnsi" w:hAnsiTheme="minorHAnsi"/>
        </w:rPr>
        <w:t xml:space="preserve"> consistent reporting processes between issuers and will enable the Department </w:t>
      </w:r>
      <w:r w:rsidR="008738D7" w:rsidRPr="00BA64B4">
        <w:rPr>
          <w:rFonts w:asciiTheme="minorHAnsi" w:hAnsiTheme="minorHAnsi"/>
        </w:rPr>
        <w:t xml:space="preserve">to </w:t>
      </w:r>
      <w:r w:rsidR="00CA1DC4" w:rsidRPr="00BA64B4">
        <w:rPr>
          <w:rFonts w:asciiTheme="minorHAnsi" w:hAnsiTheme="minorHAnsi"/>
        </w:rPr>
        <w:t>expedite</w:t>
      </w:r>
      <w:r w:rsidR="008738D7" w:rsidRPr="00BA64B4">
        <w:rPr>
          <w:rFonts w:asciiTheme="minorHAnsi" w:hAnsiTheme="minorHAnsi"/>
        </w:rPr>
        <w:t xml:space="preserve"> our review and approval process.</w:t>
      </w:r>
      <w:r w:rsidR="00CA1DC4" w:rsidRPr="00BA64B4">
        <w:rPr>
          <w:rFonts w:asciiTheme="minorHAnsi" w:hAnsiTheme="minorHAnsi"/>
        </w:rPr>
        <w:t xml:space="preserve"> </w:t>
      </w:r>
    </w:p>
    <w:p w14:paraId="72F5D6B8" w14:textId="77777777" w:rsidR="0002505D" w:rsidRDefault="0002505D" w:rsidP="00C41407">
      <w:pPr>
        <w:rPr>
          <w:rFonts w:asciiTheme="minorHAnsi" w:hAnsiTheme="minorHAnsi"/>
        </w:rPr>
      </w:pPr>
    </w:p>
    <w:p w14:paraId="5C3B50D2" w14:textId="77777777" w:rsidR="00DE1FBB" w:rsidRDefault="00DE1FBB" w:rsidP="00C41407">
      <w:pPr>
        <w:rPr>
          <w:rFonts w:asciiTheme="minorHAnsi" w:hAnsiTheme="minorHAnsi"/>
        </w:rPr>
      </w:pPr>
      <w:r>
        <w:rPr>
          <w:rFonts w:asciiTheme="minorHAnsi" w:hAnsiTheme="minorHAnsi"/>
        </w:rPr>
        <w:t xml:space="preserve">Please note, this guidance references the 2017 URRT and Instructions.  If substantive changes are made to the 2018 URRT and Instructions, </w:t>
      </w:r>
      <w:r w:rsidR="00A77AD4">
        <w:rPr>
          <w:rFonts w:asciiTheme="minorHAnsi" w:hAnsiTheme="minorHAnsi"/>
        </w:rPr>
        <w:t>changes to this guidance</w:t>
      </w:r>
      <w:r w:rsidR="0002505D">
        <w:rPr>
          <w:rFonts w:asciiTheme="minorHAnsi" w:hAnsiTheme="minorHAnsi"/>
        </w:rPr>
        <w:t xml:space="preserve"> may be required</w:t>
      </w:r>
      <w:r w:rsidR="00A77AD4">
        <w:rPr>
          <w:rFonts w:asciiTheme="minorHAnsi" w:hAnsiTheme="minorHAnsi"/>
        </w:rPr>
        <w:t>.</w:t>
      </w:r>
    </w:p>
    <w:p w14:paraId="6A986B6B" w14:textId="77777777" w:rsidR="00AF4A47" w:rsidRPr="00BA64B4" w:rsidRDefault="00D05787" w:rsidP="007E6C90">
      <w:pPr>
        <w:pStyle w:val="Heading1"/>
        <w:numPr>
          <w:ilvl w:val="0"/>
          <w:numId w:val="10"/>
        </w:numPr>
        <w:rPr>
          <w:rFonts w:asciiTheme="minorHAnsi" w:hAnsiTheme="minorHAnsi"/>
        </w:rPr>
      </w:pPr>
      <w:bookmarkStart w:id="6" w:name="_Toc440553948"/>
      <w:bookmarkStart w:id="7" w:name="_Toc440555390"/>
      <w:bookmarkStart w:id="8" w:name="_Toc440555567"/>
      <w:bookmarkStart w:id="9" w:name="_Toc440555635"/>
      <w:bookmarkStart w:id="10" w:name="_Toc474316416"/>
      <w:r w:rsidRPr="00BA64B4">
        <w:rPr>
          <w:rFonts w:asciiTheme="minorHAnsi" w:hAnsiTheme="minorHAnsi"/>
        </w:rPr>
        <w:t>Timeline</w:t>
      </w:r>
      <w:bookmarkEnd w:id="6"/>
      <w:bookmarkEnd w:id="7"/>
      <w:bookmarkEnd w:id="8"/>
      <w:bookmarkEnd w:id="9"/>
      <w:bookmarkEnd w:id="10"/>
    </w:p>
    <w:p w14:paraId="745DCD9F" w14:textId="77777777" w:rsidR="008015EE" w:rsidRDefault="00F9653B" w:rsidP="00B47CAC">
      <w:pPr>
        <w:rPr>
          <w:rFonts w:asciiTheme="minorHAnsi" w:hAnsiTheme="minorHAnsi"/>
        </w:rPr>
      </w:pPr>
      <w:r w:rsidRPr="00BA64B4">
        <w:rPr>
          <w:rFonts w:asciiTheme="minorHAnsi" w:hAnsiTheme="minorHAnsi"/>
        </w:rPr>
        <w:t xml:space="preserve">All </w:t>
      </w:r>
      <w:r w:rsidR="001321A8" w:rsidRPr="00BA64B4">
        <w:rPr>
          <w:rFonts w:asciiTheme="minorHAnsi" w:hAnsiTheme="minorHAnsi"/>
        </w:rPr>
        <w:t xml:space="preserve">rate </w:t>
      </w:r>
      <w:r w:rsidRPr="00BA64B4">
        <w:rPr>
          <w:rFonts w:asciiTheme="minorHAnsi" w:hAnsiTheme="minorHAnsi"/>
        </w:rPr>
        <w:t>filings,</w:t>
      </w:r>
      <w:r w:rsidR="00822AC7" w:rsidRPr="00BA64B4">
        <w:rPr>
          <w:rFonts w:asciiTheme="minorHAnsi" w:hAnsiTheme="minorHAnsi"/>
        </w:rPr>
        <w:t xml:space="preserve"> </w:t>
      </w:r>
      <w:r w:rsidR="00D05787" w:rsidRPr="00DE54E5">
        <w:rPr>
          <w:rFonts w:asciiTheme="minorHAnsi" w:hAnsiTheme="minorHAnsi"/>
        </w:rPr>
        <w:t xml:space="preserve">for </w:t>
      </w:r>
      <w:r w:rsidR="00822AC7" w:rsidRPr="00DE54E5">
        <w:rPr>
          <w:rFonts w:asciiTheme="minorHAnsi" w:hAnsiTheme="minorHAnsi"/>
        </w:rPr>
        <w:t xml:space="preserve">both </w:t>
      </w:r>
      <w:r w:rsidR="008F79A2" w:rsidRPr="00DE54E5">
        <w:rPr>
          <w:rFonts w:asciiTheme="minorHAnsi" w:hAnsiTheme="minorHAnsi"/>
        </w:rPr>
        <w:t>individual and small group plans</w:t>
      </w:r>
      <w:r w:rsidR="00822AC7" w:rsidRPr="00DE54E5">
        <w:rPr>
          <w:rFonts w:asciiTheme="minorHAnsi" w:hAnsiTheme="minorHAnsi"/>
        </w:rPr>
        <w:t xml:space="preserve">, </w:t>
      </w:r>
      <w:r w:rsidR="00D05787" w:rsidRPr="00DE54E5">
        <w:rPr>
          <w:rFonts w:asciiTheme="minorHAnsi" w:hAnsiTheme="minorHAnsi"/>
        </w:rPr>
        <w:t xml:space="preserve">on and off Exchange, </w:t>
      </w:r>
      <w:r w:rsidRPr="00DE54E5">
        <w:rPr>
          <w:rFonts w:asciiTheme="minorHAnsi" w:hAnsiTheme="minorHAnsi"/>
        </w:rPr>
        <w:t xml:space="preserve">must be submitted by </w:t>
      </w:r>
      <w:r w:rsidR="00104095" w:rsidRPr="00DE54E5">
        <w:rPr>
          <w:rFonts w:asciiTheme="minorHAnsi" w:hAnsiTheme="minorHAnsi"/>
        </w:rPr>
        <w:t xml:space="preserve">May </w:t>
      </w:r>
      <w:r w:rsidR="00333E71" w:rsidRPr="00DE54E5">
        <w:rPr>
          <w:rFonts w:asciiTheme="minorHAnsi" w:hAnsiTheme="minorHAnsi"/>
        </w:rPr>
        <w:t>3</w:t>
      </w:r>
      <w:r w:rsidR="00D05787" w:rsidRPr="00DE54E5">
        <w:rPr>
          <w:rFonts w:asciiTheme="minorHAnsi" w:hAnsiTheme="minorHAnsi"/>
        </w:rPr>
        <w:t>, 201</w:t>
      </w:r>
      <w:r w:rsidR="00333E71" w:rsidRPr="00DE54E5">
        <w:rPr>
          <w:rFonts w:asciiTheme="minorHAnsi" w:hAnsiTheme="minorHAnsi"/>
        </w:rPr>
        <w:t>7</w:t>
      </w:r>
      <w:r w:rsidR="00BA300C" w:rsidRPr="00DE54E5">
        <w:rPr>
          <w:rFonts w:asciiTheme="minorHAnsi" w:hAnsiTheme="minorHAnsi"/>
        </w:rPr>
        <w:t>.</w:t>
      </w:r>
      <w:r w:rsidR="00D05787" w:rsidRPr="00DE54E5">
        <w:rPr>
          <w:rFonts w:asciiTheme="minorHAnsi" w:hAnsiTheme="minorHAnsi"/>
        </w:rPr>
        <w:t xml:space="preserve"> </w:t>
      </w:r>
      <w:r w:rsidR="00721254" w:rsidRPr="00DE54E5">
        <w:rPr>
          <w:rFonts w:asciiTheme="minorHAnsi" w:hAnsiTheme="minorHAnsi"/>
        </w:rPr>
        <w:t xml:space="preserve">The rate change request summaries (see Appendix 1) will be made public on May </w:t>
      </w:r>
      <w:r w:rsidR="00333E71" w:rsidRPr="00DE54E5">
        <w:rPr>
          <w:rFonts w:asciiTheme="minorHAnsi" w:hAnsiTheme="minorHAnsi"/>
        </w:rPr>
        <w:t>19, 2017</w:t>
      </w:r>
      <w:r w:rsidR="00721254" w:rsidRPr="00DE54E5">
        <w:rPr>
          <w:rFonts w:asciiTheme="minorHAnsi" w:hAnsiTheme="minorHAnsi"/>
        </w:rPr>
        <w:t xml:space="preserve">. </w:t>
      </w:r>
      <w:r w:rsidR="00BA63BB" w:rsidRPr="00DE54E5">
        <w:rPr>
          <w:rFonts w:asciiTheme="minorHAnsi" w:hAnsiTheme="minorHAnsi"/>
        </w:rPr>
        <w:t>T</w:t>
      </w:r>
      <w:r w:rsidR="00D05787" w:rsidRPr="00DE54E5">
        <w:rPr>
          <w:rFonts w:asciiTheme="minorHAnsi" w:hAnsiTheme="minorHAnsi"/>
        </w:rPr>
        <w:t>he rate filing</w:t>
      </w:r>
      <w:r w:rsidR="00DA38D6" w:rsidRPr="00DE54E5">
        <w:rPr>
          <w:rFonts w:asciiTheme="minorHAnsi" w:hAnsiTheme="minorHAnsi"/>
        </w:rPr>
        <w:t>s</w:t>
      </w:r>
      <w:r w:rsidR="00D05787" w:rsidRPr="00DE54E5">
        <w:rPr>
          <w:rFonts w:asciiTheme="minorHAnsi" w:hAnsiTheme="minorHAnsi"/>
        </w:rPr>
        <w:t xml:space="preserve"> will be made public </w:t>
      </w:r>
      <w:r w:rsidR="0075339F" w:rsidRPr="00DE54E5">
        <w:rPr>
          <w:rFonts w:asciiTheme="minorHAnsi" w:hAnsiTheme="minorHAnsi"/>
        </w:rPr>
        <w:t xml:space="preserve">the week of </w:t>
      </w:r>
      <w:r w:rsidR="006F1BF3" w:rsidRPr="00DE54E5">
        <w:rPr>
          <w:rFonts w:asciiTheme="minorHAnsi" w:hAnsiTheme="minorHAnsi"/>
        </w:rPr>
        <w:t>July 14, 2017</w:t>
      </w:r>
      <w:r w:rsidR="00D05787" w:rsidRPr="00DE54E5">
        <w:rPr>
          <w:rFonts w:asciiTheme="minorHAnsi" w:hAnsiTheme="minorHAnsi"/>
        </w:rPr>
        <w:t xml:space="preserve">. </w:t>
      </w:r>
      <w:r w:rsidR="006F1BF3" w:rsidRPr="00DE54E5">
        <w:rPr>
          <w:rFonts w:asciiTheme="minorHAnsi" w:hAnsiTheme="minorHAnsi"/>
        </w:rPr>
        <w:t>Filings revised only to reflect updated risk adjustment projections will be accepted between July 1-July 7</w:t>
      </w:r>
      <w:r w:rsidR="008C6C4D" w:rsidRPr="00DE54E5">
        <w:rPr>
          <w:rFonts w:asciiTheme="minorHAnsi" w:hAnsiTheme="minorHAnsi"/>
        </w:rPr>
        <w:t xml:space="preserve"> and all required documents will be made public the week of July 14, as well as correspondence and filing revisions made up to that point</w:t>
      </w:r>
      <w:r w:rsidR="006F1BF3" w:rsidRPr="00DE54E5">
        <w:rPr>
          <w:rFonts w:asciiTheme="minorHAnsi" w:hAnsiTheme="minorHAnsi"/>
        </w:rPr>
        <w:t xml:space="preserve">.  </w:t>
      </w:r>
      <w:r w:rsidR="008C6C4D" w:rsidRPr="00DE54E5">
        <w:rPr>
          <w:rFonts w:asciiTheme="minorHAnsi" w:hAnsiTheme="minorHAnsi"/>
        </w:rPr>
        <w:t>After the week of July 14, correspondence and filing revisions will be made public as they occur during review</w:t>
      </w:r>
      <w:r w:rsidR="00104095" w:rsidRPr="00DE54E5">
        <w:rPr>
          <w:rFonts w:asciiTheme="minorHAnsi" w:hAnsiTheme="minorHAnsi"/>
        </w:rPr>
        <w:t xml:space="preserve">. </w:t>
      </w:r>
      <w:r w:rsidR="008C6C4D" w:rsidRPr="00DE54E5">
        <w:rPr>
          <w:rFonts w:asciiTheme="minorHAnsi" w:hAnsiTheme="minorHAnsi"/>
        </w:rPr>
        <w:t xml:space="preserve">Redactions will be permitted as described in the following section. </w:t>
      </w:r>
      <w:r w:rsidR="00D05787" w:rsidRPr="00DE54E5">
        <w:rPr>
          <w:rFonts w:asciiTheme="minorHAnsi" w:hAnsiTheme="minorHAnsi"/>
        </w:rPr>
        <w:t xml:space="preserve">All rate filings will be finalized by </w:t>
      </w:r>
      <w:r w:rsidR="00EA7742" w:rsidRPr="00DE54E5">
        <w:rPr>
          <w:rFonts w:asciiTheme="minorHAnsi" w:hAnsiTheme="minorHAnsi"/>
        </w:rPr>
        <w:t xml:space="preserve">August </w:t>
      </w:r>
      <w:r w:rsidR="00774503" w:rsidRPr="00DE54E5">
        <w:rPr>
          <w:rFonts w:asciiTheme="minorHAnsi" w:hAnsiTheme="minorHAnsi"/>
        </w:rPr>
        <w:t>21, 2017</w:t>
      </w:r>
      <w:r w:rsidR="00500B1B" w:rsidRPr="00DE54E5">
        <w:rPr>
          <w:rFonts w:asciiTheme="minorHAnsi" w:hAnsiTheme="minorHAnsi"/>
        </w:rPr>
        <w:t xml:space="preserve"> </w:t>
      </w:r>
      <w:r w:rsidR="00104095" w:rsidRPr="00DE54E5">
        <w:rPr>
          <w:rFonts w:asciiTheme="minorHAnsi" w:hAnsiTheme="minorHAnsi"/>
        </w:rPr>
        <w:t>and</w:t>
      </w:r>
      <w:r w:rsidR="002F4AA1" w:rsidRPr="00DE54E5">
        <w:rPr>
          <w:rFonts w:asciiTheme="minorHAnsi" w:hAnsiTheme="minorHAnsi"/>
        </w:rPr>
        <w:t xml:space="preserve"> final </w:t>
      </w:r>
      <w:r w:rsidR="009F1821" w:rsidRPr="00DE54E5">
        <w:rPr>
          <w:rFonts w:asciiTheme="minorHAnsi" w:hAnsiTheme="minorHAnsi"/>
        </w:rPr>
        <w:t>filing</w:t>
      </w:r>
      <w:r w:rsidR="00104095" w:rsidRPr="00DE54E5">
        <w:rPr>
          <w:rFonts w:asciiTheme="minorHAnsi" w:hAnsiTheme="minorHAnsi"/>
        </w:rPr>
        <w:t>s</w:t>
      </w:r>
      <w:r w:rsidR="002F4AA1" w:rsidRPr="00DE54E5">
        <w:rPr>
          <w:rFonts w:asciiTheme="minorHAnsi" w:hAnsiTheme="minorHAnsi"/>
        </w:rPr>
        <w:t xml:space="preserve"> will be made public </w:t>
      </w:r>
      <w:r w:rsidR="0075339F" w:rsidRPr="00DE54E5">
        <w:rPr>
          <w:rFonts w:asciiTheme="minorHAnsi" w:hAnsiTheme="minorHAnsi"/>
        </w:rPr>
        <w:t xml:space="preserve">the week of October </w:t>
      </w:r>
      <w:r w:rsidR="006F1BF3" w:rsidRPr="00DE54E5">
        <w:rPr>
          <w:rFonts w:asciiTheme="minorHAnsi" w:hAnsiTheme="minorHAnsi"/>
        </w:rPr>
        <w:t>16, 2017</w:t>
      </w:r>
      <w:r w:rsidR="00EA7742" w:rsidRPr="00DE54E5">
        <w:rPr>
          <w:rFonts w:asciiTheme="minorHAnsi" w:hAnsiTheme="minorHAnsi"/>
        </w:rPr>
        <w:t>.</w:t>
      </w:r>
      <w:r w:rsidR="00EA7742" w:rsidRPr="00BA64B4">
        <w:rPr>
          <w:rFonts w:asciiTheme="minorHAnsi" w:hAnsiTheme="minorHAnsi"/>
        </w:rPr>
        <w:t xml:space="preserve"> </w:t>
      </w:r>
    </w:p>
    <w:p w14:paraId="4DA6403A" w14:textId="77777777" w:rsidR="00A62CE7" w:rsidRPr="00BA64B4" w:rsidRDefault="00A62CE7" w:rsidP="00A62CE7">
      <w:pPr>
        <w:pStyle w:val="Heading1"/>
        <w:rPr>
          <w:rFonts w:asciiTheme="minorHAnsi" w:hAnsiTheme="minorHAnsi"/>
        </w:rPr>
      </w:pPr>
      <w:bookmarkStart w:id="11" w:name="_Toc440553949"/>
      <w:bookmarkStart w:id="12" w:name="_Toc440555391"/>
      <w:bookmarkStart w:id="13" w:name="_Toc440555568"/>
      <w:bookmarkStart w:id="14" w:name="_Toc440555636"/>
      <w:bookmarkStart w:id="15" w:name="_Toc474316417"/>
      <w:r w:rsidRPr="00BA64B4">
        <w:rPr>
          <w:rFonts w:asciiTheme="minorHAnsi" w:hAnsiTheme="minorHAnsi"/>
        </w:rPr>
        <w:t>Pennsylvania Filing Requirements</w:t>
      </w:r>
      <w:bookmarkEnd w:id="11"/>
      <w:bookmarkEnd w:id="12"/>
      <w:bookmarkEnd w:id="13"/>
      <w:bookmarkEnd w:id="14"/>
      <w:bookmarkEnd w:id="15"/>
    </w:p>
    <w:p w14:paraId="7DFAC776" w14:textId="77777777" w:rsidR="00A126D1" w:rsidRPr="00BA64B4" w:rsidRDefault="00A126D1" w:rsidP="007E61B5">
      <w:pPr>
        <w:pStyle w:val="Heading3"/>
      </w:pPr>
      <w:bookmarkStart w:id="16" w:name="_Toc440553950"/>
      <w:bookmarkStart w:id="17" w:name="_Toc440555392"/>
      <w:bookmarkStart w:id="18" w:name="_Toc440555569"/>
      <w:bookmarkStart w:id="19" w:name="_Toc440555637"/>
      <w:r w:rsidRPr="00BA64B4">
        <w:t>Required Documents</w:t>
      </w:r>
      <w:bookmarkEnd w:id="16"/>
      <w:bookmarkEnd w:id="17"/>
      <w:bookmarkEnd w:id="18"/>
      <w:bookmarkEnd w:id="19"/>
      <w:r w:rsidR="008C6C4D">
        <w:t xml:space="preserve"> and Redactions</w:t>
      </w:r>
    </w:p>
    <w:p w14:paraId="18C2E445" w14:textId="77777777" w:rsidR="00EA7742" w:rsidRPr="00BA64B4" w:rsidRDefault="00A62CE7" w:rsidP="00A62CE7">
      <w:pPr>
        <w:rPr>
          <w:rFonts w:asciiTheme="minorHAnsi" w:hAnsiTheme="minorHAnsi"/>
        </w:rPr>
      </w:pPr>
      <w:r w:rsidRPr="00BA64B4">
        <w:rPr>
          <w:rFonts w:asciiTheme="minorHAnsi" w:hAnsiTheme="minorHAnsi"/>
        </w:rPr>
        <w:t>Pennsylvania requires annual rate filings for all ACA</w:t>
      </w:r>
      <w:r w:rsidR="008F79A2" w:rsidRPr="00BA64B4">
        <w:rPr>
          <w:rFonts w:asciiTheme="minorHAnsi" w:hAnsiTheme="minorHAnsi"/>
        </w:rPr>
        <w:t>-</w:t>
      </w:r>
      <w:r w:rsidRPr="00BA64B4">
        <w:rPr>
          <w:rFonts w:asciiTheme="minorHAnsi" w:hAnsiTheme="minorHAnsi"/>
        </w:rPr>
        <w:t xml:space="preserve">compliant </w:t>
      </w:r>
      <w:r w:rsidR="008F79A2" w:rsidRPr="00BA64B4">
        <w:rPr>
          <w:rFonts w:asciiTheme="minorHAnsi" w:hAnsiTheme="minorHAnsi"/>
        </w:rPr>
        <w:t xml:space="preserve">individual and small group plans, whether on or off exchange.  </w:t>
      </w:r>
      <w:r w:rsidR="00EA7742" w:rsidRPr="00BA64B4">
        <w:rPr>
          <w:rFonts w:asciiTheme="minorHAnsi" w:hAnsiTheme="minorHAnsi"/>
        </w:rPr>
        <w:t>All filing</w:t>
      </w:r>
      <w:r w:rsidR="00774503">
        <w:rPr>
          <w:rFonts w:asciiTheme="minorHAnsi" w:hAnsiTheme="minorHAnsi"/>
        </w:rPr>
        <w:t>s</w:t>
      </w:r>
      <w:r w:rsidR="00EA7742" w:rsidRPr="00BA64B4">
        <w:rPr>
          <w:rFonts w:asciiTheme="minorHAnsi" w:hAnsiTheme="minorHAnsi"/>
        </w:rPr>
        <w:t xml:space="preserve"> must be made in both </w:t>
      </w:r>
      <w:r w:rsidR="009B50E0" w:rsidRPr="00BA64B4">
        <w:rPr>
          <w:rFonts w:asciiTheme="minorHAnsi" w:hAnsiTheme="minorHAnsi"/>
        </w:rPr>
        <w:t>SERFF</w:t>
      </w:r>
      <w:r w:rsidR="00EA7742" w:rsidRPr="00BA64B4">
        <w:rPr>
          <w:rFonts w:asciiTheme="minorHAnsi" w:hAnsiTheme="minorHAnsi"/>
        </w:rPr>
        <w:t xml:space="preserve"> and </w:t>
      </w:r>
      <w:r w:rsidR="009B50E0" w:rsidRPr="00BA64B4">
        <w:rPr>
          <w:rFonts w:asciiTheme="minorHAnsi" w:hAnsiTheme="minorHAnsi"/>
        </w:rPr>
        <w:t>HIOS</w:t>
      </w:r>
      <w:r w:rsidR="00EA7742" w:rsidRPr="00BA64B4">
        <w:rPr>
          <w:rFonts w:asciiTheme="minorHAnsi" w:hAnsiTheme="minorHAnsi"/>
        </w:rPr>
        <w:t xml:space="preserve">.  </w:t>
      </w:r>
    </w:p>
    <w:p w14:paraId="07BBDBD9" w14:textId="77777777" w:rsidR="00EA7742" w:rsidRPr="00BA64B4" w:rsidRDefault="00EA7742" w:rsidP="00A62CE7">
      <w:pPr>
        <w:rPr>
          <w:rFonts w:asciiTheme="minorHAnsi" w:hAnsiTheme="minorHAnsi"/>
        </w:rPr>
      </w:pPr>
    </w:p>
    <w:p w14:paraId="4CEDD0D3" w14:textId="77777777" w:rsidR="00EA7742" w:rsidRPr="00BA64B4" w:rsidRDefault="00A62CE7" w:rsidP="00DD528C">
      <w:pPr>
        <w:rPr>
          <w:rFonts w:asciiTheme="minorHAnsi" w:hAnsiTheme="minorHAnsi"/>
        </w:rPr>
      </w:pPr>
      <w:r w:rsidRPr="00BA64B4">
        <w:rPr>
          <w:rFonts w:asciiTheme="minorHAnsi" w:hAnsiTheme="minorHAnsi"/>
        </w:rPr>
        <w:t xml:space="preserve">Filings will be considered incomplete and rejected if the </w:t>
      </w:r>
      <w:r w:rsidR="00EA7742" w:rsidRPr="00BA64B4">
        <w:rPr>
          <w:rFonts w:asciiTheme="minorHAnsi" w:hAnsiTheme="minorHAnsi"/>
        </w:rPr>
        <w:t xml:space="preserve">items listed in the table </w:t>
      </w:r>
      <w:r w:rsidR="00536360" w:rsidRPr="00536360">
        <w:rPr>
          <w:rFonts w:asciiTheme="minorHAnsi" w:hAnsiTheme="minorHAnsi"/>
        </w:rPr>
        <w:t xml:space="preserve">on the following page </w:t>
      </w:r>
      <w:r w:rsidR="00EA7742" w:rsidRPr="00BA64B4">
        <w:rPr>
          <w:rFonts w:asciiTheme="minorHAnsi" w:hAnsiTheme="minorHAnsi"/>
        </w:rPr>
        <w:t xml:space="preserve">are not included. Note that Pennsylvania requires that all issuers </w:t>
      </w:r>
      <w:r w:rsidR="00361E0A" w:rsidRPr="00BA64B4">
        <w:rPr>
          <w:rFonts w:asciiTheme="minorHAnsi" w:hAnsiTheme="minorHAnsi"/>
        </w:rPr>
        <w:t xml:space="preserve">submit annual rate filings for </w:t>
      </w:r>
      <w:r w:rsidR="00DD528C" w:rsidRPr="00BA64B4">
        <w:rPr>
          <w:rFonts w:asciiTheme="minorHAnsi" w:hAnsiTheme="minorHAnsi"/>
        </w:rPr>
        <w:t xml:space="preserve">all </w:t>
      </w:r>
      <w:r w:rsidR="00361E0A" w:rsidRPr="00BA64B4">
        <w:rPr>
          <w:rFonts w:asciiTheme="minorHAnsi" w:hAnsiTheme="minorHAnsi"/>
        </w:rPr>
        <w:t>ACA-compliant plans</w:t>
      </w:r>
      <w:r w:rsidR="00DD528C" w:rsidRPr="00BA64B4">
        <w:rPr>
          <w:rFonts w:asciiTheme="minorHAnsi" w:hAnsiTheme="minorHAnsi"/>
        </w:rPr>
        <w:t>, including those with rate decreases or unchanged rates</w:t>
      </w:r>
      <w:r w:rsidR="00361E0A" w:rsidRPr="00BA64B4">
        <w:rPr>
          <w:rFonts w:asciiTheme="minorHAnsi" w:hAnsiTheme="minorHAnsi"/>
        </w:rPr>
        <w:t>.</w:t>
      </w:r>
      <w:r w:rsidR="00DD528C" w:rsidRPr="00BA64B4">
        <w:rPr>
          <w:rFonts w:asciiTheme="minorHAnsi" w:hAnsiTheme="minorHAnsi"/>
        </w:rPr>
        <w:t xml:space="preserve"> This aligns with the federal requirements </w:t>
      </w:r>
      <w:r w:rsidR="00104095">
        <w:rPr>
          <w:rFonts w:asciiTheme="minorHAnsi" w:hAnsiTheme="minorHAnsi"/>
        </w:rPr>
        <w:t xml:space="preserve">in </w:t>
      </w:r>
      <w:r w:rsidR="00DD528C" w:rsidRPr="00BA64B4">
        <w:rPr>
          <w:rFonts w:asciiTheme="minorHAnsi" w:hAnsiTheme="minorHAnsi"/>
        </w:rPr>
        <w:t>45 C.F.R 154.215(a).</w:t>
      </w:r>
      <w:r w:rsidR="00361E0A" w:rsidRPr="00BA64B4">
        <w:rPr>
          <w:rFonts w:asciiTheme="minorHAnsi" w:hAnsiTheme="minorHAnsi"/>
        </w:rPr>
        <w:t xml:space="preserve"> </w:t>
      </w:r>
      <w:r w:rsidR="00361E0A" w:rsidRPr="00BA64B4">
        <w:rPr>
          <w:rFonts w:asciiTheme="minorHAnsi" w:hAnsiTheme="minorHAnsi"/>
          <w:u w:val="single"/>
        </w:rPr>
        <w:t xml:space="preserve">Every rate filing for ACA-compliant plans must </w:t>
      </w:r>
      <w:r w:rsidR="008F79A2" w:rsidRPr="00BA64B4">
        <w:rPr>
          <w:rFonts w:asciiTheme="minorHAnsi" w:hAnsiTheme="minorHAnsi"/>
          <w:u w:val="single"/>
        </w:rPr>
        <w:t>include all</w:t>
      </w:r>
      <w:r w:rsidR="00EA7742" w:rsidRPr="00BA64B4">
        <w:rPr>
          <w:rFonts w:asciiTheme="minorHAnsi" w:hAnsiTheme="minorHAnsi"/>
          <w:u w:val="single"/>
        </w:rPr>
        <w:t xml:space="preserve"> </w:t>
      </w:r>
      <w:r w:rsidR="00361E0A" w:rsidRPr="00BA64B4">
        <w:rPr>
          <w:rFonts w:asciiTheme="minorHAnsi" w:hAnsiTheme="minorHAnsi"/>
          <w:u w:val="single"/>
        </w:rPr>
        <w:t xml:space="preserve">of the required documents listed in the table on the following page, including all </w:t>
      </w:r>
      <w:r w:rsidR="00EA7742" w:rsidRPr="00BA64B4">
        <w:rPr>
          <w:rFonts w:asciiTheme="minorHAnsi" w:hAnsiTheme="minorHAnsi"/>
          <w:u w:val="single"/>
        </w:rPr>
        <w:t xml:space="preserve">three components of the </w:t>
      </w:r>
      <w:r w:rsidR="0004518C" w:rsidRPr="00BA64B4">
        <w:rPr>
          <w:rFonts w:asciiTheme="minorHAnsi" w:hAnsiTheme="minorHAnsi"/>
          <w:u w:val="single"/>
        </w:rPr>
        <w:t>Rate Filing Justification</w:t>
      </w:r>
      <w:r w:rsidR="00361E0A" w:rsidRPr="00BA64B4">
        <w:rPr>
          <w:rFonts w:asciiTheme="minorHAnsi" w:hAnsiTheme="minorHAnsi"/>
          <w:u w:val="single"/>
        </w:rPr>
        <w:t xml:space="preserve"> </w:t>
      </w:r>
      <w:r w:rsidR="0004518C" w:rsidRPr="00BA64B4">
        <w:rPr>
          <w:rFonts w:asciiTheme="minorHAnsi" w:hAnsiTheme="minorHAnsi"/>
          <w:u w:val="single"/>
        </w:rPr>
        <w:t>(RFJ)</w:t>
      </w:r>
      <w:r w:rsidR="008F79A2" w:rsidRPr="00BA64B4">
        <w:rPr>
          <w:rFonts w:asciiTheme="minorHAnsi" w:hAnsiTheme="minorHAnsi"/>
          <w:u w:val="single"/>
        </w:rPr>
        <w:t>.</w:t>
      </w:r>
    </w:p>
    <w:p w14:paraId="5A7102F2" w14:textId="77777777" w:rsidR="00A62CE7" w:rsidRPr="00BA64B4" w:rsidRDefault="00A62CE7" w:rsidP="00A62CE7">
      <w:pPr>
        <w:rPr>
          <w:rFonts w:asciiTheme="minorHAnsi" w:hAnsiTheme="minorHAnsi"/>
        </w:rPr>
      </w:pPr>
    </w:p>
    <w:p w14:paraId="3C8AE504" w14:textId="77777777" w:rsidR="00DE70A6" w:rsidRPr="00BA64B4" w:rsidRDefault="00DE70A6" w:rsidP="00A62CE7">
      <w:pPr>
        <w:rPr>
          <w:rFonts w:asciiTheme="minorHAnsi" w:hAnsiTheme="minorHAnsi"/>
        </w:rPr>
      </w:pPr>
    </w:p>
    <w:p w14:paraId="3780A1E5" w14:textId="77777777" w:rsidR="00FD53F5" w:rsidRPr="00BA64B4" w:rsidRDefault="00FD53F5" w:rsidP="00FD53F5">
      <w:pPr>
        <w:rPr>
          <w:rFonts w:asciiTheme="minorHAnsi" w:hAnsiTheme="minorHAnsi"/>
        </w:rPr>
      </w:pPr>
      <w:r w:rsidRPr="00BA64B4">
        <w:rPr>
          <w:rFonts w:asciiTheme="minorHAnsi" w:hAnsiTheme="minorHAnsi"/>
        </w:rPr>
        <w:t>45 CFR § 154.215(h) specifies that CMS will make available on its website the information contained in Part II, and the information contained in Parts I and III that is not a trade secret or confidential commercial or financial information as defined in HHS’s Freedom of Information Act (FOIA) regulations at 45 CFR § 5.65.</w:t>
      </w:r>
    </w:p>
    <w:p w14:paraId="5CCFA70E" w14:textId="77777777" w:rsidR="00FD53F5" w:rsidRPr="008C6C4D" w:rsidRDefault="00FD53F5" w:rsidP="00A62CE7">
      <w:pPr>
        <w:rPr>
          <w:rFonts w:asciiTheme="minorHAnsi" w:hAnsiTheme="minorHAnsi"/>
        </w:rPr>
      </w:pPr>
    </w:p>
    <w:p w14:paraId="2548AE43" w14:textId="77777777" w:rsidR="007E3F7C" w:rsidRPr="008C6C4D" w:rsidRDefault="007E3F7C" w:rsidP="007E3F7C">
      <w:pPr>
        <w:rPr>
          <w:rFonts w:asciiTheme="minorHAnsi" w:hAnsiTheme="minorHAnsi"/>
        </w:rPr>
      </w:pPr>
      <w:r w:rsidRPr="008C6C4D">
        <w:rPr>
          <w:rFonts w:asciiTheme="minorHAnsi" w:hAnsiTheme="minorHAnsi"/>
        </w:rPr>
        <w:t xml:space="preserve">Consistent with the guidance provided during the </w:t>
      </w:r>
      <w:r w:rsidR="00F26B7B" w:rsidRPr="008C6C4D">
        <w:rPr>
          <w:rFonts w:asciiTheme="minorHAnsi" w:hAnsiTheme="minorHAnsi"/>
        </w:rPr>
        <w:t xml:space="preserve">2017 </w:t>
      </w:r>
      <w:r w:rsidRPr="008C6C4D">
        <w:rPr>
          <w:rFonts w:asciiTheme="minorHAnsi" w:hAnsiTheme="minorHAnsi"/>
        </w:rPr>
        <w:t xml:space="preserve">annual rate review cycle, the Department does not anticipate redactions other than the following items: </w:t>
      </w:r>
    </w:p>
    <w:p w14:paraId="70520293" w14:textId="77777777" w:rsidR="007E3F7C" w:rsidRPr="008C6C4D" w:rsidRDefault="007E3F7C" w:rsidP="007E6C90">
      <w:pPr>
        <w:pStyle w:val="ListParagraph"/>
        <w:numPr>
          <w:ilvl w:val="0"/>
          <w:numId w:val="14"/>
        </w:numPr>
        <w:contextualSpacing w:val="0"/>
        <w:rPr>
          <w:rFonts w:asciiTheme="minorHAnsi" w:hAnsiTheme="minorHAnsi"/>
        </w:rPr>
      </w:pPr>
      <w:r w:rsidRPr="008C6C4D">
        <w:rPr>
          <w:rFonts w:asciiTheme="minorHAnsi" w:hAnsiTheme="minorHAnsi"/>
        </w:rPr>
        <w:t>AV screenshots</w:t>
      </w:r>
    </w:p>
    <w:p w14:paraId="1539B120" w14:textId="77777777" w:rsidR="007E3F7C" w:rsidRPr="008C6C4D" w:rsidRDefault="007E3F7C" w:rsidP="007E6C90">
      <w:pPr>
        <w:pStyle w:val="ListParagraph"/>
        <w:numPr>
          <w:ilvl w:val="0"/>
          <w:numId w:val="14"/>
        </w:numPr>
        <w:contextualSpacing w:val="0"/>
        <w:rPr>
          <w:rFonts w:asciiTheme="minorHAnsi" w:hAnsiTheme="minorHAnsi"/>
        </w:rPr>
      </w:pPr>
      <w:r w:rsidRPr="008C6C4D">
        <w:rPr>
          <w:rFonts w:asciiTheme="minorHAnsi" w:hAnsiTheme="minorHAnsi"/>
        </w:rPr>
        <w:lastRenderedPageBreak/>
        <w:t xml:space="preserve">Statements specifying a company’s anticipated risk level in relation to the state average risk level (e.g., the underlined portion could be redacted in the following statement: “we expect the risk level of membership to be </w:t>
      </w:r>
      <w:r w:rsidRPr="008C6C4D">
        <w:rPr>
          <w:rFonts w:asciiTheme="minorHAnsi" w:hAnsiTheme="minorHAnsi"/>
          <w:u w:val="single"/>
        </w:rPr>
        <w:t>X% higher/lower</w:t>
      </w:r>
      <w:r w:rsidRPr="008C6C4D">
        <w:rPr>
          <w:rFonts w:asciiTheme="minorHAnsi" w:hAnsiTheme="minorHAnsi"/>
        </w:rPr>
        <w:t xml:space="preserve"> than the state average risk level”)</w:t>
      </w:r>
    </w:p>
    <w:p w14:paraId="614CC581" w14:textId="77777777" w:rsidR="007E3F7C" w:rsidRDefault="007E3F7C" w:rsidP="007E6C90">
      <w:pPr>
        <w:pStyle w:val="ListParagraph"/>
        <w:numPr>
          <w:ilvl w:val="0"/>
          <w:numId w:val="14"/>
        </w:numPr>
        <w:contextualSpacing w:val="0"/>
        <w:rPr>
          <w:rFonts w:asciiTheme="minorHAnsi" w:hAnsiTheme="minorHAnsi"/>
        </w:rPr>
      </w:pPr>
      <w:r w:rsidRPr="008C6C4D">
        <w:rPr>
          <w:rFonts w:asciiTheme="minorHAnsi" w:hAnsiTheme="minorHAnsi"/>
        </w:rPr>
        <w:t xml:space="preserve">Opining actuary’s name </w:t>
      </w:r>
    </w:p>
    <w:p w14:paraId="5941DE7F" w14:textId="77777777" w:rsidR="008C6C4D" w:rsidRDefault="008C6C4D" w:rsidP="007E6C90">
      <w:pPr>
        <w:pStyle w:val="ListParagraph"/>
        <w:numPr>
          <w:ilvl w:val="0"/>
          <w:numId w:val="14"/>
        </w:numPr>
        <w:contextualSpacing w:val="0"/>
        <w:rPr>
          <w:rFonts w:asciiTheme="minorHAnsi" w:hAnsiTheme="minorHAnsi"/>
        </w:rPr>
      </w:pPr>
      <w:r>
        <w:rPr>
          <w:rFonts w:asciiTheme="minorHAnsi" w:hAnsiTheme="minorHAnsi"/>
        </w:rPr>
        <w:t>Specific provider contracting information (note: such information was not submitted in plan year 2017 rate filings and the department does not anticipate receiving such information in plan year 2018 rate filings)</w:t>
      </w:r>
    </w:p>
    <w:p w14:paraId="4F0198E9" w14:textId="77777777" w:rsidR="008C6C4D" w:rsidRPr="008C6C4D" w:rsidRDefault="008C6C4D" w:rsidP="007E6C90">
      <w:pPr>
        <w:pStyle w:val="ListParagraph"/>
        <w:numPr>
          <w:ilvl w:val="0"/>
          <w:numId w:val="14"/>
        </w:numPr>
        <w:contextualSpacing w:val="0"/>
        <w:rPr>
          <w:rFonts w:asciiTheme="minorHAnsi" w:hAnsiTheme="minorHAnsi"/>
        </w:rPr>
      </w:pPr>
      <w:r>
        <w:rPr>
          <w:rFonts w:asciiTheme="minorHAnsi" w:hAnsiTheme="minorHAnsi"/>
        </w:rPr>
        <w:t>Commission schedules</w:t>
      </w:r>
    </w:p>
    <w:p w14:paraId="0B53F645" w14:textId="77777777" w:rsidR="007E3F7C" w:rsidRPr="008C6C4D" w:rsidRDefault="007E3F7C" w:rsidP="007E3F7C">
      <w:pPr>
        <w:pStyle w:val="ListParagraph"/>
        <w:rPr>
          <w:rFonts w:asciiTheme="minorHAnsi" w:hAnsiTheme="minorHAnsi"/>
        </w:rPr>
      </w:pPr>
    </w:p>
    <w:p w14:paraId="2F1B5D74" w14:textId="407B2CAE" w:rsidR="007E3F7C" w:rsidRPr="008C6C4D" w:rsidRDefault="007D737A" w:rsidP="007E3F7C">
      <w:pPr>
        <w:ind w:left="-5"/>
        <w:rPr>
          <w:rFonts w:asciiTheme="minorHAnsi" w:hAnsiTheme="minorHAnsi"/>
        </w:rPr>
      </w:pPr>
      <w:r w:rsidRPr="008C6C4D">
        <w:rPr>
          <w:rFonts w:asciiTheme="minorHAnsi" w:hAnsiTheme="minorHAnsi"/>
        </w:rPr>
        <w:t xml:space="preserve">Please note, one complete </w:t>
      </w:r>
      <w:r w:rsidR="008C6C4D">
        <w:rPr>
          <w:rFonts w:asciiTheme="minorHAnsi" w:hAnsiTheme="minorHAnsi"/>
        </w:rPr>
        <w:t xml:space="preserve">PDF </w:t>
      </w:r>
      <w:r w:rsidRPr="008C6C4D">
        <w:rPr>
          <w:rFonts w:asciiTheme="minorHAnsi" w:hAnsiTheme="minorHAnsi"/>
        </w:rPr>
        <w:t xml:space="preserve">file </w:t>
      </w:r>
      <w:r w:rsidR="008C6C4D">
        <w:rPr>
          <w:rFonts w:asciiTheme="minorHAnsi" w:hAnsiTheme="minorHAnsi"/>
        </w:rPr>
        <w:t>for public review</w:t>
      </w:r>
      <w:r w:rsidR="003625FE">
        <w:rPr>
          <w:rFonts w:asciiTheme="minorHAnsi" w:hAnsiTheme="minorHAnsi"/>
        </w:rPr>
        <w:t xml:space="preserve"> </w:t>
      </w:r>
      <w:r w:rsidR="00025509">
        <w:rPr>
          <w:rFonts w:asciiTheme="minorHAnsi" w:hAnsiTheme="minorHAnsi"/>
        </w:rPr>
        <w:t xml:space="preserve">(the “public rate filing PDF”) </w:t>
      </w:r>
      <w:r w:rsidR="003625FE">
        <w:rPr>
          <w:rFonts w:asciiTheme="minorHAnsi" w:hAnsiTheme="minorHAnsi"/>
        </w:rPr>
        <w:t>must be submitted. The PDF document must</w:t>
      </w:r>
      <w:r w:rsidR="008C6C4D">
        <w:rPr>
          <w:rFonts w:asciiTheme="minorHAnsi" w:hAnsiTheme="minorHAnsi"/>
        </w:rPr>
        <w:t xml:space="preserve"> </w:t>
      </w:r>
      <w:r w:rsidRPr="008C6C4D">
        <w:rPr>
          <w:rFonts w:asciiTheme="minorHAnsi" w:hAnsiTheme="minorHAnsi"/>
        </w:rPr>
        <w:t xml:space="preserve">contain all </w:t>
      </w:r>
      <w:r w:rsidR="00025509">
        <w:rPr>
          <w:rFonts w:asciiTheme="minorHAnsi" w:hAnsiTheme="minorHAnsi"/>
        </w:rPr>
        <w:t xml:space="preserve">required </w:t>
      </w:r>
      <w:r w:rsidRPr="008C6C4D">
        <w:rPr>
          <w:rFonts w:asciiTheme="minorHAnsi" w:hAnsiTheme="minorHAnsi"/>
        </w:rPr>
        <w:t>documents, tables and exhibits</w:t>
      </w:r>
      <w:r w:rsidR="00025509">
        <w:rPr>
          <w:rFonts w:asciiTheme="minorHAnsi" w:hAnsiTheme="minorHAnsi"/>
        </w:rPr>
        <w:t xml:space="preserve">. If the issuers chooses to make the limited redactions anticipated by the Department, those redactions should be made only in this document. </w:t>
      </w:r>
      <w:r w:rsidRPr="008C6C4D">
        <w:rPr>
          <w:rFonts w:asciiTheme="minorHAnsi" w:hAnsiTheme="minorHAnsi"/>
        </w:rPr>
        <w:t>In this manner, the Department will not have to select the component documents in making redacted items available for public inspection</w:t>
      </w:r>
      <w:r w:rsidR="00F26B7B" w:rsidRPr="008C6C4D">
        <w:rPr>
          <w:rFonts w:asciiTheme="minorHAnsi" w:hAnsiTheme="minorHAnsi"/>
        </w:rPr>
        <w:t>, but will instead have one complete document for public review</w:t>
      </w:r>
      <w:r w:rsidRPr="008C6C4D">
        <w:rPr>
          <w:rFonts w:asciiTheme="minorHAnsi" w:hAnsiTheme="minorHAnsi"/>
        </w:rPr>
        <w:t xml:space="preserve">. </w:t>
      </w:r>
    </w:p>
    <w:p w14:paraId="47DD014F" w14:textId="77777777" w:rsidR="00DE70A6" w:rsidRPr="00BA64B4" w:rsidRDefault="00DE70A6" w:rsidP="00A62CE7">
      <w:pPr>
        <w:rPr>
          <w:rFonts w:asciiTheme="minorHAnsi" w:hAnsiTheme="minorHAnsi"/>
        </w:rPr>
      </w:pPr>
    </w:p>
    <w:p w14:paraId="04880932" w14:textId="77777777" w:rsidR="002F4AA1" w:rsidRDefault="00536360" w:rsidP="005F5E8A">
      <w:pPr>
        <w:rPr>
          <w:rFonts w:asciiTheme="minorHAnsi" w:hAnsiTheme="minorHAnsi"/>
        </w:rPr>
      </w:pPr>
      <w:r>
        <w:rPr>
          <w:rFonts w:asciiTheme="minorHAnsi" w:hAnsiTheme="minorHAnsi"/>
        </w:rPr>
        <w:t>The Department will only permit r</w:t>
      </w:r>
      <w:r w:rsidR="002F4AA1">
        <w:rPr>
          <w:rFonts w:asciiTheme="minorHAnsi" w:hAnsiTheme="minorHAnsi"/>
        </w:rPr>
        <w:t xml:space="preserve">evisions to </w:t>
      </w:r>
      <w:r w:rsidR="00DA38D6">
        <w:rPr>
          <w:rFonts w:asciiTheme="minorHAnsi" w:hAnsiTheme="minorHAnsi"/>
        </w:rPr>
        <w:t>a</w:t>
      </w:r>
      <w:r w:rsidR="002F4AA1">
        <w:rPr>
          <w:rFonts w:asciiTheme="minorHAnsi" w:hAnsiTheme="minorHAnsi"/>
        </w:rPr>
        <w:t xml:space="preserve"> rate filing </w:t>
      </w:r>
      <w:r>
        <w:rPr>
          <w:rFonts w:asciiTheme="minorHAnsi" w:hAnsiTheme="minorHAnsi"/>
        </w:rPr>
        <w:t xml:space="preserve">to correct </w:t>
      </w:r>
      <w:r w:rsidR="009F1821">
        <w:rPr>
          <w:rFonts w:asciiTheme="minorHAnsi" w:hAnsiTheme="minorHAnsi"/>
        </w:rPr>
        <w:t xml:space="preserve">clearly </w:t>
      </w:r>
      <w:r>
        <w:rPr>
          <w:rFonts w:asciiTheme="minorHAnsi" w:hAnsiTheme="minorHAnsi"/>
        </w:rPr>
        <w:t xml:space="preserve">inadvertent errors that impact the rates, for unforeseen circumstances that impact the industry, </w:t>
      </w:r>
      <w:r w:rsidR="007E3F7C">
        <w:rPr>
          <w:rFonts w:asciiTheme="minorHAnsi" w:hAnsiTheme="minorHAnsi"/>
        </w:rPr>
        <w:t>for risk adjustment after the CMS Risk Adjustment Report</w:t>
      </w:r>
      <w:r w:rsidR="00DE54E5">
        <w:rPr>
          <w:rFonts w:asciiTheme="minorHAnsi" w:hAnsiTheme="minorHAnsi"/>
        </w:rPr>
        <w:t>,</w:t>
      </w:r>
      <w:r w:rsidR="007E3F7C">
        <w:rPr>
          <w:rFonts w:asciiTheme="minorHAnsi" w:hAnsiTheme="minorHAnsi"/>
        </w:rPr>
        <w:t xml:space="preserve"> </w:t>
      </w:r>
      <w:r>
        <w:rPr>
          <w:rFonts w:asciiTheme="minorHAnsi" w:hAnsiTheme="minorHAnsi"/>
        </w:rPr>
        <w:t xml:space="preserve">or at the Department’s request. </w:t>
      </w:r>
      <w:r w:rsidR="007E3F7C">
        <w:rPr>
          <w:rFonts w:asciiTheme="minorHAnsi" w:hAnsiTheme="minorHAnsi"/>
        </w:rPr>
        <w:t xml:space="preserve">Please be reminded that 2017 quarterly updates for small group rates may not be made after March 15, 2017. </w:t>
      </w:r>
    </w:p>
    <w:p w14:paraId="71D5804E" w14:textId="77777777" w:rsidR="00DE70A6" w:rsidRPr="00BA64B4" w:rsidRDefault="00DE70A6" w:rsidP="00A62CE7">
      <w:pPr>
        <w:rPr>
          <w:rFonts w:asciiTheme="minorHAnsi" w:hAnsiTheme="minorHAnsi"/>
        </w:rPr>
      </w:pPr>
    </w:p>
    <w:tbl>
      <w:tblPr>
        <w:tblStyle w:val="TableGrid"/>
        <w:tblpPr w:leftFromText="180" w:rightFromText="180" w:vertAnchor="text" w:tblpY="1"/>
        <w:tblOverlap w:val="never"/>
        <w:tblW w:w="8364" w:type="dxa"/>
        <w:tblLook w:val="04A0" w:firstRow="1" w:lastRow="0" w:firstColumn="1" w:lastColumn="0" w:noHBand="0" w:noVBand="1"/>
      </w:tblPr>
      <w:tblGrid>
        <w:gridCol w:w="8364"/>
      </w:tblGrid>
      <w:tr w:rsidR="00BA63BB" w:rsidRPr="00BA64B4" w14:paraId="18DD239D" w14:textId="77777777" w:rsidTr="00CE364A">
        <w:trPr>
          <w:cantSplit/>
          <w:trHeight w:val="207"/>
          <w:tblHeader/>
        </w:trPr>
        <w:tc>
          <w:tcPr>
            <w:tcW w:w="8364" w:type="dxa"/>
            <w:shd w:val="clear" w:color="auto" w:fill="D9D9D9" w:themeFill="background1" w:themeFillShade="D9"/>
          </w:tcPr>
          <w:p w14:paraId="26A81292" w14:textId="77777777" w:rsidR="00BA63BB" w:rsidRPr="00BA64B4" w:rsidRDefault="00BA63BB" w:rsidP="00BA63BB">
            <w:pPr>
              <w:jc w:val="center"/>
              <w:rPr>
                <w:rFonts w:asciiTheme="minorHAnsi" w:hAnsiTheme="minorHAnsi"/>
                <w:b/>
              </w:rPr>
            </w:pPr>
            <w:r w:rsidRPr="00BA64B4">
              <w:rPr>
                <w:rFonts w:asciiTheme="minorHAnsi" w:hAnsiTheme="minorHAnsi"/>
                <w:b/>
              </w:rPr>
              <w:t>Required Documents</w:t>
            </w:r>
          </w:p>
        </w:tc>
      </w:tr>
      <w:tr w:rsidR="00B76BAF" w:rsidRPr="00BA64B4" w14:paraId="3E291714" w14:textId="77777777" w:rsidTr="00CE364A">
        <w:trPr>
          <w:cantSplit/>
          <w:trHeight w:val="207"/>
          <w:tblHeader/>
        </w:trPr>
        <w:tc>
          <w:tcPr>
            <w:tcW w:w="8364" w:type="dxa"/>
            <w:shd w:val="clear" w:color="auto" w:fill="F2F2F2" w:themeFill="background1" w:themeFillShade="F2"/>
          </w:tcPr>
          <w:p w14:paraId="76ABF6D4" w14:textId="77777777" w:rsidR="00B76BAF" w:rsidRPr="00BA64B4" w:rsidRDefault="00B76BAF" w:rsidP="00BA63BB">
            <w:pPr>
              <w:tabs>
                <w:tab w:val="left" w:pos="1020"/>
                <w:tab w:val="center" w:pos="4929"/>
              </w:tabs>
              <w:jc w:val="center"/>
              <w:rPr>
                <w:rFonts w:asciiTheme="minorHAnsi" w:hAnsiTheme="minorHAnsi"/>
                <w:b/>
                <w:i/>
              </w:rPr>
            </w:pPr>
            <w:r w:rsidRPr="00BA64B4">
              <w:rPr>
                <w:rFonts w:asciiTheme="minorHAnsi" w:hAnsiTheme="minorHAnsi"/>
                <w:b/>
                <w:i/>
              </w:rPr>
              <w:t xml:space="preserve">Federal </w:t>
            </w:r>
            <w:r w:rsidR="00103478" w:rsidRPr="00BA64B4">
              <w:rPr>
                <w:rFonts w:asciiTheme="minorHAnsi" w:hAnsiTheme="minorHAnsi"/>
                <w:b/>
                <w:i/>
              </w:rPr>
              <w:t xml:space="preserve">Documents Required to be </w:t>
            </w:r>
            <w:r w:rsidRPr="00BA64B4">
              <w:rPr>
                <w:rFonts w:asciiTheme="minorHAnsi" w:hAnsiTheme="minorHAnsi"/>
                <w:b/>
                <w:i/>
              </w:rPr>
              <w:t>Fil</w:t>
            </w:r>
            <w:r w:rsidR="00103478" w:rsidRPr="00BA64B4">
              <w:rPr>
                <w:rFonts w:asciiTheme="minorHAnsi" w:hAnsiTheme="minorHAnsi"/>
                <w:b/>
                <w:i/>
              </w:rPr>
              <w:t>ed with PID</w:t>
            </w:r>
          </w:p>
        </w:tc>
      </w:tr>
      <w:tr w:rsidR="00BA63BB" w:rsidRPr="00BA64B4" w14:paraId="195D696E" w14:textId="77777777" w:rsidTr="00CE364A">
        <w:trPr>
          <w:cantSplit/>
          <w:trHeight w:val="200"/>
          <w:tblHeader/>
        </w:trPr>
        <w:tc>
          <w:tcPr>
            <w:tcW w:w="8364" w:type="dxa"/>
          </w:tcPr>
          <w:p w14:paraId="4967420B" w14:textId="77777777" w:rsidR="00BA63BB" w:rsidRPr="00BA64B4" w:rsidRDefault="00BA63BB" w:rsidP="00B00761">
            <w:pPr>
              <w:rPr>
                <w:rFonts w:asciiTheme="minorHAnsi" w:hAnsiTheme="minorHAnsi"/>
              </w:rPr>
            </w:pPr>
            <w:r w:rsidRPr="00BA64B4">
              <w:rPr>
                <w:rFonts w:asciiTheme="minorHAnsi" w:hAnsiTheme="minorHAnsi"/>
              </w:rPr>
              <w:t>RFJ Part I – Unified Rate Review Template (URRT)</w:t>
            </w:r>
          </w:p>
        </w:tc>
      </w:tr>
      <w:tr w:rsidR="00BA63BB" w:rsidRPr="00BA64B4" w14:paraId="01999DD9" w14:textId="77777777" w:rsidTr="00CE364A">
        <w:trPr>
          <w:cantSplit/>
          <w:trHeight w:val="207"/>
          <w:tblHeader/>
        </w:trPr>
        <w:tc>
          <w:tcPr>
            <w:tcW w:w="8364" w:type="dxa"/>
          </w:tcPr>
          <w:p w14:paraId="2FA254BD" w14:textId="77777777" w:rsidR="00BA63BB" w:rsidRPr="00BA64B4" w:rsidRDefault="00BA63BB" w:rsidP="00BA63BB">
            <w:pPr>
              <w:rPr>
                <w:rFonts w:asciiTheme="minorHAnsi" w:hAnsiTheme="minorHAnsi"/>
              </w:rPr>
            </w:pPr>
            <w:r w:rsidRPr="00BA64B4">
              <w:rPr>
                <w:rFonts w:asciiTheme="minorHAnsi" w:hAnsiTheme="minorHAnsi"/>
              </w:rPr>
              <w:t>RFJ Part II – Consumer Friendly Justification</w:t>
            </w:r>
          </w:p>
        </w:tc>
      </w:tr>
      <w:tr w:rsidR="00BA63BB" w:rsidRPr="00BA64B4" w14:paraId="7BD1A299" w14:textId="77777777" w:rsidTr="00CE364A">
        <w:trPr>
          <w:cantSplit/>
          <w:trHeight w:val="207"/>
          <w:tblHeader/>
        </w:trPr>
        <w:tc>
          <w:tcPr>
            <w:tcW w:w="8364" w:type="dxa"/>
          </w:tcPr>
          <w:p w14:paraId="7D49305F" w14:textId="77777777" w:rsidR="00BA63BB" w:rsidRPr="00BA64B4" w:rsidRDefault="00BA63BB" w:rsidP="00B00761">
            <w:pPr>
              <w:rPr>
                <w:rFonts w:asciiTheme="minorHAnsi" w:hAnsiTheme="minorHAnsi"/>
              </w:rPr>
            </w:pPr>
            <w:r w:rsidRPr="00BA64B4">
              <w:rPr>
                <w:rFonts w:asciiTheme="minorHAnsi" w:hAnsiTheme="minorHAnsi"/>
              </w:rPr>
              <w:t>RFJ Part III – Actuarial Memorandum</w:t>
            </w:r>
            <w:r w:rsidR="00CE364A">
              <w:rPr>
                <w:rFonts w:asciiTheme="minorHAnsi" w:hAnsiTheme="minorHAnsi"/>
              </w:rPr>
              <w:t xml:space="preserve"> (separate from the</w:t>
            </w:r>
            <w:r w:rsidR="00DE54E5" w:rsidRPr="00BA64B4">
              <w:rPr>
                <w:rFonts w:asciiTheme="minorHAnsi" w:hAnsiTheme="minorHAnsi"/>
              </w:rPr>
              <w:t xml:space="preserve"> PA Actuarial Memorandum</w:t>
            </w:r>
            <w:r w:rsidR="00330E26">
              <w:rPr>
                <w:rFonts w:asciiTheme="minorHAnsi" w:hAnsiTheme="minorHAnsi"/>
              </w:rPr>
              <w:t>)</w:t>
            </w:r>
          </w:p>
        </w:tc>
      </w:tr>
      <w:tr w:rsidR="00BA63BB" w:rsidRPr="00BA64B4" w14:paraId="241A187B" w14:textId="77777777" w:rsidTr="00CE364A">
        <w:trPr>
          <w:cantSplit/>
          <w:trHeight w:val="207"/>
          <w:tblHeader/>
        </w:trPr>
        <w:tc>
          <w:tcPr>
            <w:tcW w:w="8364" w:type="dxa"/>
          </w:tcPr>
          <w:p w14:paraId="3457B727" w14:textId="77777777" w:rsidR="00BA63BB" w:rsidRPr="00BA64B4" w:rsidRDefault="00BA63BB" w:rsidP="00BA63BB">
            <w:pPr>
              <w:rPr>
                <w:rFonts w:asciiTheme="minorHAnsi" w:hAnsiTheme="minorHAnsi"/>
              </w:rPr>
            </w:pPr>
            <w:r w:rsidRPr="00BA64B4">
              <w:rPr>
                <w:rFonts w:asciiTheme="minorHAnsi" w:hAnsiTheme="minorHAnsi"/>
              </w:rPr>
              <w:t>Federal Rates Template</w:t>
            </w:r>
          </w:p>
        </w:tc>
      </w:tr>
      <w:tr w:rsidR="00D05787" w:rsidRPr="00BA64B4" w14:paraId="18BD0768" w14:textId="77777777" w:rsidTr="00CE364A">
        <w:trPr>
          <w:cantSplit/>
          <w:trHeight w:val="207"/>
          <w:tblHeader/>
        </w:trPr>
        <w:tc>
          <w:tcPr>
            <w:tcW w:w="8364" w:type="dxa"/>
            <w:shd w:val="clear" w:color="auto" w:fill="F2F2F2" w:themeFill="background1" w:themeFillShade="F2"/>
          </w:tcPr>
          <w:p w14:paraId="1829DAD6" w14:textId="77777777" w:rsidR="00D05787" w:rsidRPr="00BA64B4" w:rsidRDefault="00103478" w:rsidP="00BA63BB">
            <w:pPr>
              <w:jc w:val="center"/>
              <w:rPr>
                <w:rFonts w:asciiTheme="minorHAnsi" w:hAnsiTheme="minorHAnsi"/>
                <w:b/>
              </w:rPr>
            </w:pPr>
            <w:r w:rsidRPr="00BA64B4">
              <w:rPr>
                <w:rFonts w:asciiTheme="minorHAnsi" w:hAnsiTheme="minorHAnsi"/>
                <w:b/>
                <w:i/>
              </w:rPr>
              <w:t>Pennsylvania Documents Required to be Filed with PID</w:t>
            </w:r>
          </w:p>
        </w:tc>
      </w:tr>
      <w:tr w:rsidR="00BA63BB" w:rsidRPr="00BA64B4" w14:paraId="5AE85839" w14:textId="77777777" w:rsidTr="00CE364A">
        <w:trPr>
          <w:cantSplit/>
          <w:trHeight w:val="207"/>
          <w:tblHeader/>
        </w:trPr>
        <w:tc>
          <w:tcPr>
            <w:tcW w:w="8364" w:type="dxa"/>
          </w:tcPr>
          <w:p w14:paraId="26D1D515" w14:textId="77777777" w:rsidR="00BA63BB" w:rsidRPr="00BA64B4" w:rsidRDefault="00BA63BB" w:rsidP="00025509">
            <w:pPr>
              <w:rPr>
                <w:rFonts w:asciiTheme="minorHAnsi" w:hAnsiTheme="minorHAnsi"/>
              </w:rPr>
            </w:pPr>
            <w:r w:rsidRPr="00BA64B4">
              <w:rPr>
                <w:rFonts w:asciiTheme="minorHAnsi" w:hAnsiTheme="minorHAnsi"/>
              </w:rPr>
              <w:t>Cover Letter</w:t>
            </w:r>
            <w:r w:rsidR="00025509">
              <w:rPr>
                <w:rFonts w:asciiTheme="minorHAnsi" w:hAnsiTheme="minorHAnsi"/>
              </w:rPr>
              <w:t xml:space="preserve"> </w:t>
            </w:r>
          </w:p>
        </w:tc>
      </w:tr>
      <w:tr w:rsidR="00BA63BB" w:rsidRPr="00BA64B4" w14:paraId="34C7631F" w14:textId="77777777" w:rsidTr="00CE364A">
        <w:trPr>
          <w:cantSplit/>
          <w:trHeight w:val="207"/>
          <w:tblHeader/>
        </w:trPr>
        <w:tc>
          <w:tcPr>
            <w:tcW w:w="8364" w:type="dxa"/>
          </w:tcPr>
          <w:p w14:paraId="1E8D7B7E" w14:textId="06887364" w:rsidR="00BA63BB" w:rsidRPr="00BA64B4" w:rsidRDefault="00BA63BB" w:rsidP="00BA63BB">
            <w:pPr>
              <w:rPr>
                <w:rFonts w:asciiTheme="minorHAnsi" w:hAnsiTheme="minorHAnsi"/>
              </w:rPr>
            </w:pPr>
            <w:r w:rsidRPr="00BA64B4">
              <w:rPr>
                <w:rFonts w:asciiTheme="minorHAnsi" w:hAnsiTheme="minorHAnsi"/>
              </w:rPr>
              <w:t>Rate Change Request Summary</w:t>
            </w:r>
            <w:r w:rsidR="00CE2B99">
              <w:rPr>
                <w:rFonts w:asciiTheme="minorHAnsi" w:hAnsiTheme="minorHAnsi"/>
              </w:rPr>
              <w:t xml:space="preserve"> (Attachment 1)</w:t>
            </w:r>
          </w:p>
        </w:tc>
      </w:tr>
      <w:tr w:rsidR="00BA63BB" w:rsidRPr="00BA64B4" w14:paraId="08BECE15" w14:textId="77777777" w:rsidTr="00CE364A">
        <w:trPr>
          <w:cantSplit/>
          <w:trHeight w:val="207"/>
          <w:tblHeader/>
        </w:trPr>
        <w:tc>
          <w:tcPr>
            <w:tcW w:w="8364" w:type="dxa"/>
          </w:tcPr>
          <w:p w14:paraId="603267A3" w14:textId="77777777" w:rsidR="00BA63BB" w:rsidRPr="00BA64B4" w:rsidRDefault="00BA63BB" w:rsidP="00DE54E5">
            <w:pPr>
              <w:rPr>
                <w:rFonts w:asciiTheme="minorHAnsi" w:hAnsiTheme="minorHAnsi"/>
              </w:rPr>
            </w:pPr>
            <w:r w:rsidRPr="00BA64B4">
              <w:rPr>
                <w:rFonts w:asciiTheme="minorHAnsi" w:hAnsiTheme="minorHAnsi"/>
              </w:rPr>
              <w:t>PA Actuarial Memorandum</w:t>
            </w:r>
            <w:r w:rsidR="00330E26">
              <w:rPr>
                <w:rFonts w:asciiTheme="minorHAnsi" w:hAnsiTheme="minorHAnsi"/>
              </w:rPr>
              <w:t xml:space="preserve"> (separate from the </w:t>
            </w:r>
            <w:r w:rsidR="00CE364A">
              <w:rPr>
                <w:rFonts w:asciiTheme="minorHAnsi" w:hAnsiTheme="minorHAnsi"/>
              </w:rPr>
              <w:t>RFJ</w:t>
            </w:r>
            <w:r w:rsidR="00DE54E5" w:rsidRPr="00BA64B4">
              <w:rPr>
                <w:rFonts w:asciiTheme="minorHAnsi" w:hAnsiTheme="minorHAnsi"/>
              </w:rPr>
              <w:t xml:space="preserve"> Actuarial Memorandum</w:t>
            </w:r>
            <w:r w:rsidR="00330E26">
              <w:rPr>
                <w:rFonts w:asciiTheme="minorHAnsi" w:hAnsiTheme="minorHAnsi"/>
              </w:rPr>
              <w:t>)</w:t>
            </w:r>
          </w:p>
        </w:tc>
      </w:tr>
      <w:tr w:rsidR="00BA63BB" w:rsidRPr="00BA64B4" w14:paraId="365362FA" w14:textId="77777777" w:rsidTr="00CE364A">
        <w:trPr>
          <w:cantSplit/>
          <w:trHeight w:val="207"/>
          <w:tblHeader/>
        </w:trPr>
        <w:tc>
          <w:tcPr>
            <w:tcW w:w="8364" w:type="dxa"/>
          </w:tcPr>
          <w:p w14:paraId="1AF4A464" w14:textId="77777777" w:rsidR="00BA63BB" w:rsidRPr="00BA64B4" w:rsidRDefault="00BA63BB" w:rsidP="00025509">
            <w:pPr>
              <w:rPr>
                <w:rFonts w:asciiTheme="minorHAnsi" w:hAnsiTheme="minorHAnsi"/>
              </w:rPr>
            </w:pPr>
            <w:r w:rsidRPr="00BA64B4">
              <w:rPr>
                <w:rFonts w:asciiTheme="minorHAnsi" w:hAnsiTheme="minorHAnsi"/>
              </w:rPr>
              <w:t>PA Actuarial Memorandum Rate Exhibits</w:t>
            </w:r>
            <w:r w:rsidR="00C0552F">
              <w:rPr>
                <w:rFonts w:asciiTheme="minorHAnsi" w:hAnsiTheme="minorHAnsi"/>
              </w:rPr>
              <w:t xml:space="preserve"> (Excel)</w:t>
            </w:r>
          </w:p>
        </w:tc>
      </w:tr>
      <w:tr w:rsidR="00BA63BB" w:rsidRPr="00BA64B4" w14:paraId="4561F222" w14:textId="77777777" w:rsidTr="00CE364A">
        <w:trPr>
          <w:cantSplit/>
          <w:trHeight w:val="207"/>
          <w:tblHeader/>
        </w:trPr>
        <w:tc>
          <w:tcPr>
            <w:tcW w:w="8364" w:type="dxa"/>
          </w:tcPr>
          <w:p w14:paraId="3808D1B6" w14:textId="77777777" w:rsidR="00BA63BB" w:rsidRPr="00BA64B4" w:rsidRDefault="00BA63BB" w:rsidP="00025509">
            <w:pPr>
              <w:rPr>
                <w:rFonts w:asciiTheme="minorHAnsi" w:hAnsiTheme="minorHAnsi"/>
              </w:rPr>
            </w:pPr>
            <w:r w:rsidRPr="00BA64B4">
              <w:rPr>
                <w:rFonts w:asciiTheme="minorHAnsi" w:hAnsiTheme="minorHAnsi"/>
              </w:rPr>
              <w:t xml:space="preserve">PA </w:t>
            </w:r>
            <w:r w:rsidR="0075339F">
              <w:rPr>
                <w:rFonts w:asciiTheme="minorHAnsi" w:hAnsiTheme="minorHAnsi"/>
              </w:rPr>
              <w:t xml:space="preserve">Plan Design Summary and </w:t>
            </w:r>
            <w:r w:rsidRPr="00BA64B4">
              <w:rPr>
                <w:rFonts w:asciiTheme="minorHAnsi" w:hAnsiTheme="minorHAnsi"/>
              </w:rPr>
              <w:t xml:space="preserve">Rate Tables </w:t>
            </w:r>
            <w:r w:rsidR="00914559">
              <w:rPr>
                <w:rFonts w:asciiTheme="minorHAnsi" w:hAnsiTheme="minorHAnsi"/>
              </w:rPr>
              <w:t>(Excel)</w:t>
            </w:r>
          </w:p>
        </w:tc>
      </w:tr>
      <w:tr w:rsidR="00CE2B99" w:rsidRPr="00BA64B4" w14:paraId="26B846FF" w14:textId="77777777" w:rsidTr="00CE364A">
        <w:trPr>
          <w:cantSplit/>
          <w:trHeight w:val="207"/>
          <w:tblHeader/>
        </w:trPr>
        <w:tc>
          <w:tcPr>
            <w:tcW w:w="8364" w:type="dxa"/>
          </w:tcPr>
          <w:p w14:paraId="6EBB6901" w14:textId="25D4D511" w:rsidR="00CE2B99" w:rsidRDefault="00A805CD" w:rsidP="00A805CD">
            <w:pPr>
              <w:rPr>
                <w:rFonts w:asciiTheme="minorHAnsi" w:hAnsiTheme="minorHAnsi"/>
              </w:rPr>
            </w:pPr>
            <w:r>
              <w:rPr>
                <w:rFonts w:asciiTheme="minorHAnsi" w:hAnsiTheme="minorHAnsi"/>
              </w:rPr>
              <w:t xml:space="preserve">Service Area Map </w:t>
            </w:r>
          </w:p>
        </w:tc>
      </w:tr>
      <w:tr w:rsidR="00025509" w:rsidRPr="00BA64B4" w14:paraId="70B48561" w14:textId="77777777" w:rsidTr="00CE364A">
        <w:trPr>
          <w:cantSplit/>
          <w:trHeight w:val="207"/>
          <w:tblHeader/>
        </w:trPr>
        <w:tc>
          <w:tcPr>
            <w:tcW w:w="8364" w:type="dxa"/>
          </w:tcPr>
          <w:p w14:paraId="5992D2F9" w14:textId="77777777" w:rsidR="00025509" w:rsidRPr="00BA64B4" w:rsidRDefault="00025509" w:rsidP="00025509">
            <w:pPr>
              <w:rPr>
                <w:rFonts w:asciiTheme="minorHAnsi" w:hAnsiTheme="minorHAnsi"/>
              </w:rPr>
            </w:pPr>
            <w:r>
              <w:rPr>
                <w:rFonts w:asciiTheme="minorHAnsi" w:hAnsiTheme="minorHAnsi"/>
              </w:rPr>
              <w:t>Public Rate Filing PDF</w:t>
            </w:r>
          </w:p>
        </w:tc>
      </w:tr>
      <w:tr w:rsidR="00BA63BB" w:rsidRPr="00BA64B4" w14:paraId="04CA47C5" w14:textId="77777777" w:rsidTr="00CE364A">
        <w:trPr>
          <w:cantSplit/>
          <w:trHeight w:val="207"/>
          <w:tblHeader/>
        </w:trPr>
        <w:tc>
          <w:tcPr>
            <w:tcW w:w="8364" w:type="dxa"/>
          </w:tcPr>
          <w:p w14:paraId="586DBBCB" w14:textId="18D1714B" w:rsidR="00BA63BB" w:rsidRPr="00BA64B4" w:rsidRDefault="00E43213" w:rsidP="00E43213">
            <w:pPr>
              <w:rPr>
                <w:rFonts w:asciiTheme="minorHAnsi" w:hAnsiTheme="minorHAnsi"/>
              </w:rPr>
            </w:pPr>
            <w:r>
              <w:rPr>
                <w:rFonts w:asciiTheme="minorHAnsi" w:hAnsiTheme="minorHAnsi"/>
              </w:rPr>
              <w:t>Completeness and Redaction Checklist</w:t>
            </w:r>
            <w:r w:rsidR="00786914">
              <w:rPr>
                <w:rFonts w:asciiTheme="minorHAnsi" w:hAnsiTheme="minorHAnsi"/>
              </w:rPr>
              <w:t>, and</w:t>
            </w:r>
            <w:r w:rsidR="00271157">
              <w:rPr>
                <w:rFonts w:asciiTheme="minorHAnsi" w:hAnsiTheme="minorHAnsi"/>
              </w:rPr>
              <w:t>,</w:t>
            </w:r>
            <w:r w:rsidR="00786914">
              <w:rPr>
                <w:rFonts w:asciiTheme="minorHAnsi" w:hAnsiTheme="minorHAnsi"/>
              </w:rPr>
              <w:t xml:space="preserve"> if applicable, Redaction Justification</w:t>
            </w:r>
          </w:p>
        </w:tc>
      </w:tr>
    </w:tbl>
    <w:p w14:paraId="5F300F0E" w14:textId="77777777" w:rsidR="00BA63BB" w:rsidRDefault="00BA63BB" w:rsidP="00BA63BB">
      <w:bookmarkStart w:id="20" w:name="_Toc439315443"/>
      <w:bookmarkStart w:id="21" w:name="_Toc439317408"/>
      <w:bookmarkStart w:id="22" w:name="_Toc439317509"/>
      <w:bookmarkStart w:id="23" w:name="_Toc439317610"/>
      <w:bookmarkStart w:id="24" w:name="_Toc439315444"/>
      <w:bookmarkStart w:id="25" w:name="_Toc439317409"/>
      <w:bookmarkStart w:id="26" w:name="_Toc439317510"/>
      <w:bookmarkStart w:id="27" w:name="_Toc439317611"/>
      <w:bookmarkStart w:id="28" w:name="_Toc439315446"/>
      <w:bookmarkStart w:id="29" w:name="_Toc439317411"/>
      <w:bookmarkStart w:id="30" w:name="_Toc439317512"/>
      <w:bookmarkStart w:id="31" w:name="_Toc439317613"/>
      <w:bookmarkStart w:id="32" w:name="_Toc439315447"/>
      <w:bookmarkStart w:id="33" w:name="_Toc439317412"/>
      <w:bookmarkStart w:id="34" w:name="_Toc439317513"/>
      <w:bookmarkStart w:id="35" w:name="_Toc439317614"/>
      <w:bookmarkStart w:id="36" w:name="_Toc439315448"/>
      <w:bookmarkStart w:id="37" w:name="_Toc439317413"/>
      <w:bookmarkStart w:id="38" w:name="_Toc439317514"/>
      <w:bookmarkStart w:id="39" w:name="_Toc439317615"/>
      <w:bookmarkStart w:id="40" w:name="_Toc439315450"/>
      <w:bookmarkStart w:id="41" w:name="_Toc439317415"/>
      <w:bookmarkStart w:id="42" w:name="_Toc439317516"/>
      <w:bookmarkStart w:id="43" w:name="_Toc439317617"/>
      <w:bookmarkStart w:id="44" w:name="_Toc439315458"/>
      <w:bookmarkStart w:id="45" w:name="_Toc439317423"/>
      <w:bookmarkStart w:id="46" w:name="_Toc439317524"/>
      <w:bookmarkStart w:id="47" w:name="_Toc439317625"/>
      <w:bookmarkStart w:id="48" w:name="_Toc439315459"/>
      <w:bookmarkStart w:id="49" w:name="_Toc439317424"/>
      <w:bookmarkStart w:id="50" w:name="_Toc439317525"/>
      <w:bookmarkStart w:id="51" w:name="_Toc439317626"/>
      <w:bookmarkStart w:id="52" w:name="_Toc440553951"/>
      <w:bookmarkStart w:id="53" w:name="_Toc440555393"/>
      <w:bookmarkStart w:id="54" w:name="_Toc440555570"/>
      <w:bookmarkStart w:id="55" w:name="_Toc44055563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1BE78A8" w14:textId="77777777" w:rsidR="00BA63BB" w:rsidRDefault="00BA63BB" w:rsidP="00BA63BB"/>
    <w:p w14:paraId="1327A671" w14:textId="77777777" w:rsidR="00BA63BB" w:rsidRDefault="00BA63BB" w:rsidP="00BA63BB"/>
    <w:p w14:paraId="7328F59E" w14:textId="77777777" w:rsidR="00BA63BB" w:rsidRDefault="00BA63BB" w:rsidP="00BA63BB"/>
    <w:p w14:paraId="0563B3ED" w14:textId="77777777" w:rsidR="00BA63BB" w:rsidRDefault="00BA63BB" w:rsidP="00BA63BB"/>
    <w:p w14:paraId="5CFA3295" w14:textId="77777777" w:rsidR="00BA63BB" w:rsidRDefault="00BA63BB" w:rsidP="00BA63BB"/>
    <w:p w14:paraId="057373C5" w14:textId="77777777" w:rsidR="00BA63BB" w:rsidRDefault="00BA63BB" w:rsidP="00BA63BB"/>
    <w:p w14:paraId="392D06C9" w14:textId="77777777" w:rsidR="00BA63BB" w:rsidRDefault="00BA63BB" w:rsidP="00BA63BB"/>
    <w:p w14:paraId="0F6A2C08" w14:textId="77777777" w:rsidR="00BA63BB" w:rsidRDefault="00BA63BB" w:rsidP="00BA63BB"/>
    <w:p w14:paraId="7727EEAB" w14:textId="77777777" w:rsidR="00BA63BB" w:rsidRDefault="00BA63BB" w:rsidP="00BA63BB"/>
    <w:p w14:paraId="51FC0610" w14:textId="77777777" w:rsidR="00BA63BB" w:rsidRDefault="00BA63BB" w:rsidP="00BA63BB"/>
    <w:p w14:paraId="4C817C0A" w14:textId="77777777" w:rsidR="00BA63BB" w:rsidRDefault="00BA63BB" w:rsidP="00BA63BB"/>
    <w:p w14:paraId="1E805883" w14:textId="77777777" w:rsidR="00BA63BB" w:rsidRDefault="00BA63BB" w:rsidP="00BA63BB"/>
    <w:p w14:paraId="3CD05B01" w14:textId="77777777" w:rsidR="00BA63BB" w:rsidRDefault="00BA63BB" w:rsidP="00BA63BB"/>
    <w:p w14:paraId="203FFECC" w14:textId="77777777" w:rsidR="00BA63BB" w:rsidRDefault="00BA63BB" w:rsidP="00BA63BB"/>
    <w:p w14:paraId="521E8BE2" w14:textId="77777777" w:rsidR="00DE54E5" w:rsidRDefault="00DE54E5" w:rsidP="00BA63BB"/>
    <w:p w14:paraId="609E71AA" w14:textId="77777777" w:rsidR="00054EEA" w:rsidRDefault="00054EEA" w:rsidP="00BA63BB"/>
    <w:p w14:paraId="78E94AA5" w14:textId="77777777" w:rsidR="00E641E0" w:rsidRPr="00BA64B4" w:rsidRDefault="00E641E0" w:rsidP="00584FAA">
      <w:pPr>
        <w:pStyle w:val="Heading2"/>
        <w:rPr>
          <w:rFonts w:asciiTheme="minorHAnsi" w:hAnsiTheme="minorHAnsi"/>
        </w:rPr>
      </w:pPr>
      <w:bookmarkStart w:id="56" w:name="_Toc474316418"/>
      <w:r w:rsidRPr="00BA64B4">
        <w:rPr>
          <w:rFonts w:asciiTheme="minorHAnsi" w:hAnsiTheme="minorHAnsi"/>
        </w:rPr>
        <w:t>HIOS Submission</w:t>
      </w:r>
      <w:bookmarkEnd w:id="52"/>
      <w:bookmarkEnd w:id="53"/>
      <w:bookmarkEnd w:id="54"/>
      <w:bookmarkEnd w:id="55"/>
      <w:bookmarkEnd w:id="56"/>
      <w:r w:rsidRPr="00BA64B4">
        <w:rPr>
          <w:rFonts w:asciiTheme="minorHAnsi" w:hAnsiTheme="minorHAnsi"/>
        </w:rPr>
        <w:t xml:space="preserve"> </w:t>
      </w:r>
    </w:p>
    <w:p w14:paraId="28E18B36" w14:textId="77777777" w:rsidR="00667AD5" w:rsidRPr="00BA64B4" w:rsidRDefault="00667AD5" w:rsidP="00B47CAC">
      <w:pPr>
        <w:rPr>
          <w:rFonts w:asciiTheme="minorHAnsi" w:hAnsiTheme="minorHAnsi"/>
        </w:rPr>
      </w:pPr>
      <w:r w:rsidRPr="00BA64B4">
        <w:rPr>
          <w:rFonts w:asciiTheme="minorHAnsi" w:hAnsiTheme="minorHAnsi"/>
        </w:rPr>
        <w:t>The HIOS submission must include the SERFF Tracking Number.  The Department strongly</w:t>
      </w:r>
      <w:r w:rsidR="004A0A09" w:rsidRPr="00BA64B4">
        <w:rPr>
          <w:rFonts w:asciiTheme="minorHAnsi" w:hAnsiTheme="minorHAnsi"/>
        </w:rPr>
        <w:t xml:space="preserve"> encourages </w:t>
      </w:r>
      <w:r w:rsidR="00DD528C" w:rsidRPr="00BA64B4">
        <w:rPr>
          <w:rFonts w:asciiTheme="minorHAnsi" w:hAnsiTheme="minorHAnsi"/>
        </w:rPr>
        <w:t xml:space="preserve">QHP </w:t>
      </w:r>
      <w:r w:rsidR="004A0A09" w:rsidRPr="00BA64B4">
        <w:rPr>
          <w:rFonts w:asciiTheme="minorHAnsi" w:hAnsiTheme="minorHAnsi"/>
        </w:rPr>
        <w:t xml:space="preserve">issuers to </w:t>
      </w:r>
      <w:r w:rsidR="00DD528C" w:rsidRPr="00BA64B4">
        <w:rPr>
          <w:rFonts w:asciiTheme="minorHAnsi" w:hAnsiTheme="minorHAnsi"/>
        </w:rPr>
        <w:t xml:space="preserve">use </w:t>
      </w:r>
      <w:r w:rsidR="004A0A09" w:rsidRPr="00BA64B4">
        <w:rPr>
          <w:rFonts w:asciiTheme="minorHAnsi" w:hAnsiTheme="minorHAnsi"/>
        </w:rPr>
        <w:t xml:space="preserve">the </w:t>
      </w:r>
      <w:r w:rsidRPr="00BA64B4">
        <w:rPr>
          <w:rFonts w:asciiTheme="minorHAnsi" w:hAnsiTheme="minorHAnsi"/>
        </w:rPr>
        <w:t>CMS Data Integrity Tool (DIT)</w:t>
      </w:r>
      <w:r w:rsidR="00155394" w:rsidRPr="00BA64B4">
        <w:rPr>
          <w:rFonts w:asciiTheme="minorHAnsi" w:hAnsiTheme="minorHAnsi"/>
        </w:rPr>
        <w:t xml:space="preserve"> to reduce </w:t>
      </w:r>
      <w:r w:rsidR="008F79A2" w:rsidRPr="00BA64B4">
        <w:rPr>
          <w:rFonts w:asciiTheme="minorHAnsi" w:hAnsiTheme="minorHAnsi"/>
        </w:rPr>
        <w:t>later</w:t>
      </w:r>
      <w:r w:rsidR="00155394" w:rsidRPr="00BA64B4">
        <w:rPr>
          <w:rFonts w:asciiTheme="minorHAnsi" w:hAnsiTheme="minorHAnsi"/>
        </w:rPr>
        <w:t xml:space="preserve"> corrections.</w:t>
      </w:r>
    </w:p>
    <w:p w14:paraId="6FA6666A" w14:textId="77777777" w:rsidR="0037423A" w:rsidRPr="00BA64B4" w:rsidRDefault="0037423A" w:rsidP="00584FAA">
      <w:pPr>
        <w:pStyle w:val="Heading2"/>
        <w:rPr>
          <w:rFonts w:asciiTheme="minorHAnsi" w:hAnsiTheme="minorHAnsi"/>
        </w:rPr>
      </w:pPr>
      <w:bookmarkStart w:id="57" w:name="_Toc440553952"/>
      <w:bookmarkStart w:id="58" w:name="_Toc440555394"/>
      <w:bookmarkStart w:id="59" w:name="_Toc440555571"/>
      <w:bookmarkStart w:id="60" w:name="_Toc440555639"/>
      <w:bookmarkStart w:id="61" w:name="_Toc474316419"/>
      <w:r w:rsidRPr="00BA64B4">
        <w:rPr>
          <w:rFonts w:asciiTheme="minorHAnsi" w:hAnsiTheme="minorHAnsi"/>
        </w:rPr>
        <w:t>SERFF Submission</w:t>
      </w:r>
      <w:bookmarkEnd w:id="57"/>
      <w:bookmarkEnd w:id="58"/>
      <w:bookmarkEnd w:id="59"/>
      <w:bookmarkEnd w:id="60"/>
      <w:bookmarkEnd w:id="61"/>
      <w:r w:rsidRPr="00BA64B4">
        <w:rPr>
          <w:rFonts w:asciiTheme="minorHAnsi" w:hAnsiTheme="minorHAnsi"/>
        </w:rPr>
        <w:t xml:space="preserve"> </w:t>
      </w:r>
    </w:p>
    <w:p w14:paraId="5DB3DB81" w14:textId="77777777" w:rsidR="00667AD5" w:rsidRPr="00BA64B4" w:rsidRDefault="00667AD5" w:rsidP="00B47CAC">
      <w:pPr>
        <w:rPr>
          <w:rFonts w:asciiTheme="minorHAnsi" w:hAnsiTheme="minorHAnsi"/>
        </w:rPr>
      </w:pPr>
      <w:r w:rsidRPr="00BA64B4">
        <w:rPr>
          <w:rFonts w:asciiTheme="minorHAnsi" w:hAnsiTheme="minorHAnsi"/>
        </w:rPr>
        <w:t>The following Types of Insurance</w:t>
      </w:r>
      <w:r w:rsidR="00155394" w:rsidRPr="00BA64B4">
        <w:rPr>
          <w:rFonts w:asciiTheme="minorHAnsi" w:hAnsiTheme="minorHAnsi"/>
        </w:rPr>
        <w:t xml:space="preserve"> (TOI)</w:t>
      </w:r>
      <w:r w:rsidRPr="00BA64B4">
        <w:rPr>
          <w:rFonts w:asciiTheme="minorHAnsi" w:hAnsiTheme="minorHAnsi"/>
        </w:rPr>
        <w:t>, Sub</w:t>
      </w:r>
      <w:r w:rsidR="00DD528C" w:rsidRPr="00BA64B4">
        <w:rPr>
          <w:rFonts w:asciiTheme="minorHAnsi" w:hAnsiTheme="minorHAnsi"/>
        </w:rPr>
        <w:t>-</w:t>
      </w:r>
      <w:r w:rsidRPr="00BA64B4">
        <w:rPr>
          <w:rFonts w:asciiTheme="minorHAnsi" w:hAnsiTheme="minorHAnsi"/>
        </w:rPr>
        <w:t>Types of Insurance</w:t>
      </w:r>
      <w:r w:rsidR="00155394" w:rsidRPr="00BA64B4">
        <w:rPr>
          <w:rFonts w:asciiTheme="minorHAnsi" w:hAnsiTheme="minorHAnsi"/>
        </w:rPr>
        <w:t xml:space="preserve"> (Sub-TOI)</w:t>
      </w:r>
      <w:r w:rsidRPr="00BA64B4">
        <w:rPr>
          <w:rFonts w:asciiTheme="minorHAnsi" w:hAnsiTheme="minorHAnsi"/>
        </w:rPr>
        <w:t xml:space="preserve"> and Filing Types must be used for ACA rate filings.</w:t>
      </w:r>
      <w:r w:rsidR="001321A8" w:rsidRPr="00BA64B4">
        <w:rPr>
          <w:rFonts w:asciiTheme="minorHAnsi" w:hAnsiTheme="minorHAnsi"/>
        </w:rPr>
        <w:t xml:space="preserve">  Rate and </w:t>
      </w:r>
      <w:r w:rsidR="00DD528C" w:rsidRPr="00BA64B4">
        <w:rPr>
          <w:rFonts w:asciiTheme="minorHAnsi" w:hAnsiTheme="minorHAnsi"/>
        </w:rPr>
        <w:t xml:space="preserve">form </w:t>
      </w:r>
      <w:r w:rsidR="001321A8" w:rsidRPr="00BA64B4">
        <w:rPr>
          <w:rFonts w:asciiTheme="minorHAnsi" w:hAnsiTheme="minorHAnsi"/>
        </w:rPr>
        <w:t>filings must be submitted as separate filings.</w:t>
      </w:r>
    </w:p>
    <w:p w14:paraId="57F8CC63" w14:textId="77777777" w:rsidR="00667AD5" w:rsidRPr="00BA64B4" w:rsidRDefault="00667AD5" w:rsidP="00B47CAC">
      <w:pPr>
        <w:rPr>
          <w:rFonts w:asciiTheme="minorHAnsi" w:hAnsiTheme="minorHAnsi"/>
        </w:rPr>
      </w:pPr>
    </w:p>
    <w:p w14:paraId="7EC5DAB6" w14:textId="77777777" w:rsidR="0037423A" w:rsidRPr="00BA64B4" w:rsidRDefault="0037423A" w:rsidP="007E6C90">
      <w:pPr>
        <w:pStyle w:val="ListParagraph"/>
        <w:numPr>
          <w:ilvl w:val="0"/>
          <w:numId w:val="8"/>
        </w:numPr>
        <w:rPr>
          <w:rFonts w:asciiTheme="minorHAnsi" w:hAnsiTheme="minorHAnsi"/>
        </w:rPr>
      </w:pPr>
      <w:r w:rsidRPr="00BA64B4">
        <w:rPr>
          <w:rFonts w:asciiTheme="minorHAnsi" w:hAnsiTheme="minorHAnsi"/>
        </w:rPr>
        <w:t xml:space="preserve">TOI – Individual   </w:t>
      </w:r>
    </w:p>
    <w:p w14:paraId="076475C7" w14:textId="77777777" w:rsidR="0037423A" w:rsidRPr="00BA64B4" w:rsidRDefault="00B00761" w:rsidP="007E6C90">
      <w:pPr>
        <w:pStyle w:val="ListParagraph"/>
        <w:numPr>
          <w:ilvl w:val="1"/>
          <w:numId w:val="8"/>
        </w:numPr>
        <w:rPr>
          <w:rFonts w:asciiTheme="minorHAnsi" w:hAnsiTheme="minorHAnsi"/>
        </w:rPr>
      </w:pPr>
      <w:r w:rsidRPr="00BA64B4">
        <w:rPr>
          <w:rFonts w:asciiTheme="minorHAnsi" w:hAnsiTheme="minorHAnsi"/>
        </w:rPr>
        <w:t>H1</w:t>
      </w:r>
      <w:r>
        <w:rPr>
          <w:rFonts w:asciiTheme="minorHAnsi" w:hAnsiTheme="minorHAnsi"/>
        </w:rPr>
        <w:t>5</w:t>
      </w:r>
      <w:r w:rsidRPr="00BA64B4">
        <w:rPr>
          <w:rFonts w:asciiTheme="minorHAnsi" w:hAnsiTheme="minorHAnsi"/>
        </w:rPr>
        <w:t xml:space="preserve">l </w:t>
      </w:r>
      <w:r w:rsidR="0037423A" w:rsidRPr="00BA64B4">
        <w:rPr>
          <w:rFonts w:asciiTheme="minorHAnsi" w:hAnsiTheme="minorHAnsi"/>
        </w:rPr>
        <w:t>Individual Health – Hospital/Surgical/</w:t>
      </w:r>
      <w:r w:rsidR="006A20DF" w:rsidRPr="00BA64B4">
        <w:rPr>
          <w:rFonts w:asciiTheme="minorHAnsi" w:hAnsiTheme="minorHAnsi"/>
        </w:rPr>
        <w:t xml:space="preserve">Medical </w:t>
      </w:r>
      <w:r w:rsidR="0037423A" w:rsidRPr="00BA64B4">
        <w:rPr>
          <w:rFonts w:asciiTheme="minorHAnsi" w:hAnsiTheme="minorHAnsi"/>
        </w:rPr>
        <w:t xml:space="preserve">Expense </w:t>
      </w:r>
    </w:p>
    <w:p w14:paraId="3406F7EF" w14:textId="77777777" w:rsidR="0037423A" w:rsidRPr="00BA64B4" w:rsidRDefault="0037423A" w:rsidP="007E6C90">
      <w:pPr>
        <w:pStyle w:val="ListParagraph"/>
        <w:numPr>
          <w:ilvl w:val="1"/>
          <w:numId w:val="8"/>
        </w:numPr>
        <w:rPr>
          <w:rFonts w:asciiTheme="minorHAnsi" w:hAnsiTheme="minorHAnsi"/>
        </w:rPr>
      </w:pPr>
      <w:r w:rsidRPr="00BA64B4">
        <w:rPr>
          <w:rFonts w:asciiTheme="minorHAnsi" w:hAnsiTheme="minorHAnsi"/>
        </w:rPr>
        <w:t>Sub-TOI –H15I.001 Health –</w:t>
      </w:r>
      <w:r w:rsidR="00A71257" w:rsidRPr="00BA64B4">
        <w:rPr>
          <w:rFonts w:asciiTheme="minorHAnsi" w:hAnsiTheme="minorHAnsi"/>
        </w:rPr>
        <w:t xml:space="preserve"> </w:t>
      </w:r>
      <w:r w:rsidRPr="00BA64B4">
        <w:rPr>
          <w:rFonts w:asciiTheme="minorHAnsi" w:hAnsiTheme="minorHAnsi"/>
        </w:rPr>
        <w:t xml:space="preserve">Hospital/Surgical/Medical Expense </w:t>
      </w:r>
    </w:p>
    <w:p w14:paraId="0A625ED9" w14:textId="77777777" w:rsidR="0037423A" w:rsidRPr="00BA64B4" w:rsidRDefault="0037423A" w:rsidP="007E6C90">
      <w:pPr>
        <w:pStyle w:val="ListParagraph"/>
        <w:numPr>
          <w:ilvl w:val="0"/>
          <w:numId w:val="8"/>
        </w:numPr>
        <w:rPr>
          <w:rFonts w:asciiTheme="minorHAnsi" w:hAnsiTheme="minorHAnsi"/>
        </w:rPr>
      </w:pPr>
      <w:r w:rsidRPr="00BA64B4">
        <w:rPr>
          <w:rFonts w:asciiTheme="minorHAnsi" w:hAnsiTheme="minorHAnsi"/>
        </w:rPr>
        <w:lastRenderedPageBreak/>
        <w:t>TOI – Group</w:t>
      </w:r>
    </w:p>
    <w:p w14:paraId="7ADD6832" w14:textId="77777777" w:rsidR="0037423A" w:rsidRPr="00BA64B4" w:rsidRDefault="0037423A" w:rsidP="007E6C90">
      <w:pPr>
        <w:pStyle w:val="ListParagraph"/>
        <w:numPr>
          <w:ilvl w:val="1"/>
          <w:numId w:val="8"/>
        </w:numPr>
        <w:rPr>
          <w:rFonts w:asciiTheme="minorHAnsi" w:hAnsiTheme="minorHAnsi"/>
        </w:rPr>
      </w:pPr>
      <w:r w:rsidRPr="00BA64B4">
        <w:rPr>
          <w:rFonts w:asciiTheme="minorHAnsi" w:hAnsiTheme="minorHAnsi"/>
        </w:rPr>
        <w:t>H15G Group Health – Hospital/Surgical/Medical Expense</w:t>
      </w:r>
    </w:p>
    <w:p w14:paraId="1AF33D4D" w14:textId="77777777" w:rsidR="0037423A" w:rsidRPr="00BA64B4" w:rsidRDefault="0037423A" w:rsidP="007E6C90">
      <w:pPr>
        <w:pStyle w:val="ListParagraph"/>
        <w:numPr>
          <w:ilvl w:val="1"/>
          <w:numId w:val="8"/>
        </w:numPr>
        <w:rPr>
          <w:rFonts w:asciiTheme="minorHAnsi" w:hAnsiTheme="minorHAnsi"/>
        </w:rPr>
      </w:pPr>
      <w:r w:rsidRPr="00BA64B4">
        <w:rPr>
          <w:rFonts w:asciiTheme="minorHAnsi" w:hAnsiTheme="minorHAnsi"/>
        </w:rPr>
        <w:t xml:space="preserve">Sub-TOI – </w:t>
      </w:r>
      <w:r w:rsidR="00B00761">
        <w:rPr>
          <w:rFonts w:asciiTheme="minorHAnsi" w:hAnsiTheme="minorHAnsi"/>
        </w:rPr>
        <w:t>-H15G.003</w:t>
      </w:r>
      <w:r w:rsidRPr="00BA64B4">
        <w:rPr>
          <w:rFonts w:asciiTheme="minorHAnsi" w:hAnsiTheme="minorHAnsi"/>
        </w:rPr>
        <w:t xml:space="preserve"> </w:t>
      </w:r>
      <w:r w:rsidR="00B00761">
        <w:rPr>
          <w:rFonts w:asciiTheme="minorHAnsi" w:hAnsiTheme="minorHAnsi"/>
        </w:rPr>
        <w:t>Small Group Only</w:t>
      </w:r>
    </w:p>
    <w:p w14:paraId="0083859F" w14:textId="77777777" w:rsidR="0037423A" w:rsidRPr="00BA64B4" w:rsidRDefault="0037423A" w:rsidP="007E6C90">
      <w:pPr>
        <w:pStyle w:val="ListParagraph"/>
        <w:numPr>
          <w:ilvl w:val="0"/>
          <w:numId w:val="8"/>
        </w:numPr>
        <w:rPr>
          <w:rFonts w:asciiTheme="minorHAnsi" w:hAnsiTheme="minorHAnsi"/>
        </w:rPr>
      </w:pPr>
      <w:r w:rsidRPr="00BA64B4">
        <w:rPr>
          <w:rFonts w:asciiTheme="minorHAnsi" w:hAnsiTheme="minorHAnsi"/>
        </w:rPr>
        <w:t xml:space="preserve">Filing Type </w:t>
      </w:r>
    </w:p>
    <w:p w14:paraId="50A9E5A6" w14:textId="77777777" w:rsidR="0037423A" w:rsidRPr="00BA64B4" w:rsidRDefault="0037423A" w:rsidP="007E6C90">
      <w:pPr>
        <w:pStyle w:val="ListParagraph"/>
        <w:numPr>
          <w:ilvl w:val="1"/>
          <w:numId w:val="8"/>
        </w:numPr>
        <w:rPr>
          <w:rFonts w:asciiTheme="minorHAnsi" w:hAnsiTheme="minorHAnsi"/>
        </w:rPr>
      </w:pPr>
      <w:r w:rsidRPr="00BA64B4">
        <w:rPr>
          <w:rFonts w:asciiTheme="minorHAnsi" w:hAnsiTheme="minorHAnsi"/>
        </w:rPr>
        <w:t>Rate</w:t>
      </w:r>
      <w:r w:rsidR="00F976EB" w:rsidRPr="00BA64B4">
        <w:rPr>
          <w:rFonts w:asciiTheme="minorHAnsi" w:hAnsiTheme="minorHAnsi"/>
        </w:rPr>
        <w:tab/>
      </w:r>
    </w:p>
    <w:p w14:paraId="20DBF6B0" w14:textId="77777777" w:rsidR="005C4F93" w:rsidRPr="00BA64B4" w:rsidRDefault="005C4F93" w:rsidP="00584FAA">
      <w:pPr>
        <w:pStyle w:val="Heading2"/>
        <w:rPr>
          <w:rFonts w:asciiTheme="minorHAnsi" w:hAnsiTheme="minorHAnsi"/>
        </w:rPr>
      </w:pPr>
      <w:bookmarkStart w:id="62" w:name="_Toc440553953"/>
      <w:bookmarkStart w:id="63" w:name="_Toc440555395"/>
      <w:bookmarkStart w:id="64" w:name="_Toc440555572"/>
      <w:bookmarkStart w:id="65" w:name="_Toc440555640"/>
      <w:bookmarkStart w:id="66" w:name="_Toc474316420"/>
      <w:r w:rsidRPr="00BA64B4">
        <w:rPr>
          <w:rFonts w:asciiTheme="minorHAnsi" w:hAnsiTheme="minorHAnsi"/>
        </w:rPr>
        <w:t>SERFF Rate/Rule Schedule Tab</w:t>
      </w:r>
      <w:bookmarkEnd w:id="62"/>
      <w:bookmarkEnd w:id="63"/>
      <w:bookmarkEnd w:id="64"/>
      <w:bookmarkEnd w:id="65"/>
      <w:bookmarkEnd w:id="66"/>
      <w:r w:rsidRPr="00BA64B4">
        <w:rPr>
          <w:rFonts w:asciiTheme="minorHAnsi" w:hAnsiTheme="minorHAnsi"/>
        </w:rPr>
        <w:t xml:space="preserve"> </w:t>
      </w:r>
    </w:p>
    <w:p w14:paraId="319373AA" w14:textId="7727EEE8" w:rsidR="00B0059F" w:rsidRPr="00BA64B4" w:rsidRDefault="005C4F93" w:rsidP="00B0059F">
      <w:pPr>
        <w:rPr>
          <w:rFonts w:asciiTheme="minorHAnsi" w:hAnsiTheme="minorHAnsi"/>
        </w:rPr>
      </w:pPr>
      <w:r w:rsidRPr="00BA64B4">
        <w:rPr>
          <w:rFonts w:asciiTheme="minorHAnsi" w:hAnsiTheme="minorHAnsi"/>
        </w:rPr>
        <w:t xml:space="preserve">The SERFF Rate/Rule Schedule </w:t>
      </w:r>
      <w:r w:rsidR="00B00761">
        <w:rPr>
          <w:rFonts w:asciiTheme="minorHAnsi" w:hAnsiTheme="minorHAnsi"/>
        </w:rPr>
        <w:t xml:space="preserve">Tab </w:t>
      </w:r>
      <w:r w:rsidRPr="00BA64B4">
        <w:rPr>
          <w:rFonts w:asciiTheme="minorHAnsi" w:hAnsiTheme="minorHAnsi"/>
        </w:rPr>
        <w:t>should contain the proposed premium rates for all proposed plans</w:t>
      </w:r>
      <w:r w:rsidR="00B0059F">
        <w:rPr>
          <w:rFonts w:asciiTheme="minorHAnsi" w:hAnsiTheme="minorHAnsi"/>
        </w:rPr>
        <w:t>,</w:t>
      </w:r>
      <w:r w:rsidR="00603290">
        <w:rPr>
          <w:rFonts w:asciiTheme="minorHAnsi" w:hAnsiTheme="minorHAnsi"/>
        </w:rPr>
        <w:t xml:space="preserve"> </w:t>
      </w:r>
      <w:r w:rsidR="00B0059F">
        <w:rPr>
          <w:rFonts w:asciiTheme="minorHAnsi" w:hAnsiTheme="minorHAnsi"/>
        </w:rPr>
        <w:t xml:space="preserve">and Excel versions of </w:t>
      </w:r>
      <w:r w:rsidR="00603290">
        <w:rPr>
          <w:rFonts w:asciiTheme="minorHAnsi" w:hAnsiTheme="minorHAnsi"/>
        </w:rPr>
        <w:t xml:space="preserve">the </w:t>
      </w:r>
      <w:r w:rsidR="00B0059F">
        <w:rPr>
          <w:rFonts w:asciiTheme="minorHAnsi" w:hAnsiTheme="minorHAnsi"/>
        </w:rPr>
        <w:t>Federal Rates Template and the PA</w:t>
      </w:r>
      <w:r w:rsidR="00603290">
        <w:rPr>
          <w:rFonts w:asciiTheme="minorHAnsi" w:hAnsiTheme="minorHAnsi"/>
        </w:rPr>
        <w:t xml:space="preserve"> Plan Design Summary</w:t>
      </w:r>
      <w:r w:rsidR="00B0059F">
        <w:rPr>
          <w:rFonts w:asciiTheme="minorHAnsi" w:hAnsiTheme="minorHAnsi"/>
        </w:rPr>
        <w:t xml:space="preserve"> and Rate Tables</w:t>
      </w:r>
      <w:r w:rsidRPr="00BA64B4">
        <w:rPr>
          <w:rFonts w:asciiTheme="minorHAnsi" w:hAnsiTheme="minorHAnsi"/>
        </w:rPr>
        <w:t xml:space="preserve">.  </w:t>
      </w:r>
      <w:r w:rsidR="0082206C" w:rsidRPr="00BA64B4">
        <w:rPr>
          <w:rFonts w:asciiTheme="minorHAnsi" w:hAnsiTheme="minorHAnsi"/>
        </w:rPr>
        <w:t>No other data or information should be included in this tab.</w:t>
      </w:r>
      <w:r w:rsidR="00B0059F">
        <w:rPr>
          <w:rFonts w:asciiTheme="minorHAnsi" w:hAnsiTheme="minorHAnsi"/>
        </w:rPr>
        <w:t xml:space="preserve"> </w:t>
      </w:r>
      <w:r w:rsidR="00CE2B99" w:rsidRPr="00BA64B4">
        <w:rPr>
          <w:rFonts w:asciiTheme="minorHAnsi" w:hAnsiTheme="minorHAnsi"/>
        </w:rPr>
        <w:t>Issuers should complete only one Federal Rate</w:t>
      </w:r>
      <w:r w:rsidR="00CE2B99">
        <w:rPr>
          <w:rFonts w:asciiTheme="minorHAnsi" w:hAnsiTheme="minorHAnsi"/>
        </w:rPr>
        <w:t>s</w:t>
      </w:r>
      <w:r w:rsidR="00CE2B99" w:rsidRPr="00BA64B4">
        <w:rPr>
          <w:rFonts w:asciiTheme="minorHAnsi" w:hAnsiTheme="minorHAnsi"/>
        </w:rPr>
        <w:t xml:space="preserve"> Template per company, and should use separate tabs for each market.</w:t>
      </w:r>
      <w:r w:rsidR="00CE2B99">
        <w:rPr>
          <w:rFonts w:asciiTheme="minorHAnsi" w:hAnsiTheme="minorHAnsi"/>
        </w:rPr>
        <w:t xml:space="preserve">  </w:t>
      </w:r>
    </w:p>
    <w:p w14:paraId="00C8FD4E" w14:textId="77777777" w:rsidR="00E43213" w:rsidRDefault="00E43213" w:rsidP="00B47CAC">
      <w:pPr>
        <w:rPr>
          <w:rFonts w:asciiTheme="minorHAnsi" w:hAnsiTheme="minorHAnsi"/>
        </w:rPr>
      </w:pPr>
    </w:p>
    <w:p w14:paraId="39AA43D2" w14:textId="2EBF01EE" w:rsidR="005C4F93" w:rsidRPr="00BA64B4" w:rsidRDefault="005C4F93" w:rsidP="00B47CAC">
      <w:pPr>
        <w:rPr>
          <w:rFonts w:asciiTheme="minorHAnsi" w:hAnsiTheme="minorHAnsi"/>
        </w:rPr>
      </w:pPr>
      <w:r w:rsidRPr="00BA64B4">
        <w:rPr>
          <w:rFonts w:asciiTheme="minorHAnsi" w:hAnsiTheme="minorHAnsi"/>
        </w:rPr>
        <w:t xml:space="preserve">The Company Rate Information and Rate Review Detail must be complete and accurate.  The </w:t>
      </w:r>
      <w:r w:rsidR="00960D07">
        <w:rPr>
          <w:rFonts w:asciiTheme="minorHAnsi" w:hAnsiTheme="minorHAnsi"/>
        </w:rPr>
        <w:t xml:space="preserve">rate change </w:t>
      </w:r>
      <w:r w:rsidRPr="00BA64B4">
        <w:rPr>
          <w:rFonts w:asciiTheme="minorHAnsi" w:hAnsiTheme="minorHAnsi"/>
        </w:rPr>
        <w:t xml:space="preserve">data presented should be consistent with </w:t>
      </w:r>
      <w:r w:rsidR="006206CD">
        <w:rPr>
          <w:rFonts w:asciiTheme="minorHAnsi" w:hAnsiTheme="minorHAnsi"/>
        </w:rPr>
        <w:t>Table 10</w:t>
      </w:r>
      <w:r w:rsidR="00960D07">
        <w:rPr>
          <w:rFonts w:asciiTheme="minorHAnsi" w:hAnsiTheme="minorHAnsi"/>
        </w:rPr>
        <w:t xml:space="preserve"> and the number of policyholders affected should </w:t>
      </w:r>
      <w:r w:rsidR="00F30516">
        <w:rPr>
          <w:rFonts w:asciiTheme="minorHAnsi" w:hAnsiTheme="minorHAnsi"/>
        </w:rPr>
        <w:t xml:space="preserve">be </w:t>
      </w:r>
      <w:r w:rsidR="00960D07">
        <w:rPr>
          <w:rFonts w:asciiTheme="minorHAnsi" w:hAnsiTheme="minorHAnsi"/>
        </w:rPr>
        <w:t>populated using the total covered lives as of 2/1/</w:t>
      </w:r>
      <w:r w:rsidR="009B0E18">
        <w:rPr>
          <w:rFonts w:asciiTheme="minorHAnsi" w:hAnsiTheme="minorHAnsi"/>
        </w:rPr>
        <w:t>1</w:t>
      </w:r>
      <w:r w:rsidR="00960D07">
        <w:rPr>
          <w:rFonts w:asciiTheme="minorHAnsi" w:hAnsiTheme="minorHAnsi"/>
        </w:rPr>
        <w:t>7 in Table 2</w:t>
      </w:r>
      <w:r w:rsidR="00126FA6" w:rsidRPr="006B4A8E">
        <w:rPr>
          <w:rFonts w:asciiTheme="minorHAnsi" w:hAnsiTheme="minorHAnsi"/>
        </w:rPr>
        <w:t>.</w:t>
      </w:r>
      <w:r w:rsidR="00281C81" w:rsidRPr="006B4A8E">
        <w:rPr>
          <w:rFonts w:asciiTheme="minorHAnsi" w:hAnsiTheme="minorHAnsi"/>
        </w:rPr>
        <w:t xml:space="preserve">  The </w:t>
      </w:r>
      <w:r w:rsidR="00B13FDC" w:rsidRPr="006B4A8E">
        <w:rPr>
          <w:rFonts w:asciiTheme="minorHAnsi" w:hAnsiTheme="minorHAnsi"/>
        </w:rPr>
        <w:t xml:space="preserve">total </w:t>
      </w:r>
      <w:r w:rsidR="00281C81" w:rsidRPr="006B4A8E">
        <w:rPr>
          <w:rFonts w:asciiTheme="minorHAnsi" w:hAnsiTheme="minorHAnsi"/>
        </w:rPr>
        <w:t>requested rate change</w:t>
      </w:r>
      <w:r w:rsidR="00103478" w:rsidRPr="006B4A8E">
        <w:rPr>
          <w:rFonts w:asciiTheme="minorHAnsi" w:hAnsiTheme="minorHAnsi"/>
        </w:rPr>
        <w:t xml:space="preserve"> entered should </w:t>
      </w:r>
      <w:r w:rsidR="004D5ACA" w:rsidRPr="006B4A8E">
        <w:rPr>
          <w:rFonts w:asciiTheme="minorHAnsi" w:hAnsiTheme="minorHAnsi"/>
        </w:rPr>
        <w:t xml:space="preserve">be </w:t>
      </w:r>
      <w:r w:rsidR="00025509">
        <w:rPr>
          <w:rFonts w:asciiTheme="minorHAnsi" w:hAnsiTheme="minorHAnsi"/>
        </w:rPr>
        <w:t>c</w:t>
      </w:r>
      <w:r w:rsidR="00132390">
        <w:rPr>
          <w:rFonts w:asciiTheme="minorHAnsi" w:hAnsiTheme="minorHAnsi"/>
        </w:rPr>
        <w:t xml:space="preserve">onsistent with column AC of Table 10. </w:t>
      </w:r>
    </w:p>
    <w:p w14:paraId="53F8A8C1" w14:textId="77777777" w:rsidR="00B0059F" w:rsidRDefault="00B0059F" w:rsidP="007927B5">
      <w:pPr>
        <w:tabs>
          <w:tab w:val="left" w:pos="3930"/>
        </w:tabs>
        <w:rPr>
          <w:rFonts w:asciiTheme="minorHAnsi" w:hAnsiTheme="minorHAnsi"/>
        </w:rPr>
      </w:pPr>
    </w:p>
    <w:p w14:paraId="056ED4C6" w14:textId="77777777" w:rsidR="00A126D1" w:rsidRPr="00BA64B4" w:rsidRDefault="00BA300C" w:rsidP="007927B5">
      <w:pPr>
        <w:tabs>
          <w:tab w:val="left" w:pos="3930"/>
        </w:tabs>
        <w:rPr>
          <w:rFonts w:asciiTheme="minorHAnsi" w:hAnsiTheme="minorHAnsi"/>
        </w:rPr>
      </w:pPr>
      <w:r w:rsidRPr="00BA64B4">
        <w:rPr>
          <w:rFonts w:asciiTheme="minorHAnsi" w:hAnsiTheme="minorHAnsi"/>
        </w:rPr>
        <w:t xml:space="preserve">The </w:t>
      </w:r>
      <w:r w:rsidR="00103478" w:rsidRPr="00BA64B4">
        <w:rPr>
          <w:rFonts w:asciiTheme="minorHAnsi" w:hAnsiTheme="minorHAnsi"/>
        </w:rPr>
        <w:t>RFJ</w:t>
      </w:r>
      <w:r w:rsidR="00CD1EF1" w:rsidRPr="00BA64B4">
        <w:rPr>
          <w:rFonts w:asciiTheme="minorHAnsi" w:hAnsiTheme="minorHAnsi"/>
        </w:rPr>
        <w:t xml:space="preserve"> </w:t>
      </w:r>
      <w:r w:rsidRPr="00BA64B4">
        <w:rPr>
          <w:rFonts w:asciiTheme="minorHAnsi" w:hAnsiTheme="minorHAnsi"/>
        </w:rPr>
        <w:t>and all supporting data and documents should be included in the Supporting Documentation Tab.</w:t>
      </w:r>
    </w:p>
    <w:p w14:paraId="07E56F8C" w14:textId="77777777" w:rsidR="008F79A2" w:rsidRPr="00BA64B4" w:rsidRDefault="008F79A2" w:rsidP="008F79A2">
      <w:pPr>
        <w:pStyle w:val="Heading2"/>
        <w:rPr>
          <w:rFonts w:asciiTheme="minorHAnsi" w:hAnsiTheme="minorHAnsi"/>
        </w:rPr>
      </w:pPr>
      <w:bookmarkStart w:id="67" w:name="_Toc440553954"/>
      <w:bookmarkStart w:id="68" w:name="_Toc440555396"/>
      <w:bookmarkStart w:id="69" w:name="_Toc440555573"/>
      <w:bookmarkStart w:id="70" w:name="_Toc440555641"/>
      <w:bookmarkStart w:id="71" w:name="_Toc474316421"/>
      <w:r w:rsidRPr="00BA64B4">
        <w:rPr>
          <w:rFonts w:asciiTheme="minorHAnsi" w:hAnsiTheme="minorHAnsi"/>
        </w:rPr>
        <w:t>Pennsylvania Insurance Department Contact</w:t>
      </w:r>
      <w:bookmarkEnd w:id="67"/>
      <w:bookmarkEnd w:id="68"/>
      <w:bookmarkEnd w:id="69"/>
      <w:bookmarkEnd w:id="70"/>
      <w:bookmarkEnd w:id="71"/>
    </w:p>
    <w:p w14:paraId="07F50982" w14:textId="77777777" w:rsidR="0091282A" w:rsidRPr="00BA64B4" w:rsidRDefault="008F79A2" w:rsidP="008F79A2">
      <w:pPr>
        <w:rPr>
          <w:rFonts w:asciiTheme="minorHAnsi" w:hAnsiTheme="minorHAnsi"/>
        </w:rPr>
      </w:pPr>
      <w:r w:rsidRPr="00BA64B4">
        <w:rPr>
          <w:rFonts w:asciiTheme="minorHAnsi" w:hAnsiTheme="minorHAnsi"/>
        </w:rPr>
        <w:t>Johanna Fabian-Marks</w:t>
      </w:r>
      <w:r w:rsidR="0091282A" w:rsidRPr="00BA64B4">
        <w:rPr>
          <w:rFonts w:asciiTheme="minorHAnsi" w:hAnsiTheme="minorHAnsi"/>
        </w:rPr>
        <w:t>,</w:t>
      </w:r>
      <w:r w:rsidRPr="00BA64B4">
        <w:rPr>
          <w:rFonts w:asciiTheme="minorHAnsi" w:hAnsiTheme="minorHAnsi"/>
        </w:rPr>
        <w:t xml:space="preserve"> Special </w:t>
      </w:r>
      <w:r w:rsidR="006B4A8E" w:rsidRPr="00BA64B4">
        <w:rPr>
          <w:rFonts w:asciiTheme="minorHAnsi" w:hAnsiTheme="minorHAnsi"/>
        </w:rPr>
        <w:t>Deputy &amp;</w:t>
      </w:r>
      <w:r w:rsidRPr="00BA64B4">
        <w:rPr>
          <w:rFonts w:asciiTheme="minorHAnsi" w:hAnsiTheme="minorHAnsi"/>
        </w:rPr>
        <w:t xml:space="preserve"> Acting Director</w:t>
      </w:r>
      <w:r w:rsidR="0091282A" w:rsidRPr="00BA64B4">
        <w:rPr>
          <w:rFonts w:asciiTheme="minorHAnsi" w:hAnsiTheme="minorHAnsi"/>
        </w:rPr>
        <w:t xml:space="preserve">, </w:t>
      </w:r>
      <w:r w:rsidRPr="00BA64B4">
        <w:rPr>
          <w:rFonts w:asciiTheme="minorHAnsi" w:hAnsiTheme="minorHAnsi"/>
        </w:rPr>
        <w:t>Bureau of Life, Accident and Health Insurance</w:t>
      </w:r>
      <w:r w:rsidR="0091282A" w:rsidRPr="00BA64B4">
        <w:rPr>
          <w:rFonts w:asciiTheme="minorHAnsi" w:hAnsiTheme="minorHAnsi"/>
        </w:rPr>
        <w:t xml:space="preserve"> </w:t>
      </w:r>
    </w:p>
    <w:p w14:paraId="5E7A63D1" w14:textId="77777777" w:rsidR="008F79A2" w:rsidRPr="00BA64B4" w:rsidRDefault="008F79A2" w:rsidP="008F79A2">
      <w:pPr>
        <w:rPr>
          <w:rFonts w:asciiTheme="minorHAnsi" w:hAnsiTheme="minorHAnsi"/>
        </w:rPr>
      </w:pPr>
      <w:r w:rsidRPr="00BA64B4">
        <w:rPr>
          <w:rFonts w:asciiTheme="minorHAnsi" w:hAnsiTheme="minorHAnsi"/>
        </w:rPr>
        <w:t xml:space="preserve">Email: </w:t>
      </w:r>
      <w:hyperlink r:id="rId19" w:history="1">
        <w:r w:rsidR="0091282A" w:rsidRPr="00BA64B4">
          <w:rPr>
            <w:rStyle w:val="Hyperlink"/>
            <w:rFonts w:asciiTheme="minorHAnsi" w:hAnsiTheme="minorHAnsi"/>
          </w:rPr>
          <w:t>jfabianmar@pa.gov</w:t>
        </w:r>
      </w:hyperlink>
      <w:r w:rsidR="00A71257" w:rsidRPr="00BA64B4">
        <w:rPr>
          <w:rFonts w:asciiTheme="minorHAnsi" w:hAnsiTheme="minorHAnsi"/>
        </w:rPr>
        <w:t xml:space="preserve">. </w:t>
      </w:r>
      <w:r w:rsidRPr="00BA64B4">
        <w:rPr>
          <w:rFonts w:asciiTheme="minorHAnsi" w:hAnsiTheme="minorHAnsi"/>
        </w:rPr>
        <w:t>Phone: 717.783.4335</w:t>
      </w:r>
      <w:r w:rsidR="00A71257" w:rsidRPr="00BA64B4">
        <w:rPr>
          <w:rFonts w:asciiTheme="minorHAnsi" w:hAnsiTheme="minorHAnsi"/>
        </w:rPr>
        <w:t>.</w:t>
      </w:r>
    </w:p>
    <w:p w14:paraId="18542D7B" w14:textId="77777777" w:rsidR="00C63B62" w:rsidRDefault="00C63B62" w:rsidP="008F79A2">
      <w:pPr>
        <w:rPr>
          <w:rFonts w:asciiTheme="minorHAnsi" w:hAnsiTheme="minorHAnsi"/>
        </w:rPr>
      </w:pPr>
    </w:p>
    <w:p w14:paraId="70619861" w14:textId="77777777" w:rsidR="009F01C2" w:rsidRPr="00BA64B4" w:rsidRDefault="009F01C2" w:rsidP="008F79A2">
      <w:pPr>
        <w:rPr>
          <w:rFonts w:asciiTheme="minorHAnsi" w:hAnsiTheme="minorHAnsi"/>
        </w:rPr>
      </w:pPr>
    </w:p>
    <w:p w14:paraId="6B1FB321" w14:textId="77777777" w:rsidR="0015144D" w:rsidRPr="00DE54E5" w:rsidRDefault="00DE54E5" w:rsidP="00DE54E5">
      <w:pPr>
        <w:pStyle w:val="Title"/>
      </w:pPr>
      <w:bookmarkStart w:id="72" w:name="_Toc439315464"/>
      <w:bookmarkStart w:id="73" w:name="_Toc439317429"/>
      <w:bookmarkStart w:id="74" w:name="_Toc439317530"/>
      <w:bookmarkStart w:id="75" w:name="_Toc439317631"/>
      <w:bookmarkStart w:id="76" w:name="_Toc439315467"/>
      <w:bookmarkStart w:id="77" w:name="_Toc439317432"/>
      <w:bookmarkStart w:id="78" w:name="_Toc439317533"/>
      <w:bookmarkStart w:id="79" w:name="_Toc439317634"/>
      <w:bookmarkStart w:id="80" w:name="_Toc439315468"/>
      <w:bookmarkStart w:id="81" w:name="_Toc439317433"/>
      <w:bookmarkStart w:id="82" w:name="_Toc439317534"/>
      <w:bookmarkStart w:id="83" w:name="_Toc439317635"/>
      <w:bookmarkStart w:id="84" w:name="_Toc439315469"/>
      <w:bookmarkStart w:id="85" w:name="_Toc439317434"/>
      <w:bookmarkStart w:id="86" w:name="_Toc439317535"/>
      <w:bookmarkStart w:id="87" w:name="_Toc439317636"/>
      <w:bookmarkStart w:id="88" w:name="_Toc439315470"/>
      <w:bookmarkStart w:id="89" w:name="_Toc439317435"/>
      <w:bookmarkStart w:id="90" w:name="_Toc439317536"/>
      <w:bookmarkStart w:id="91" w:name="_Toc439317637"/>
      <w:bookmarkStart w:id="92" w:name="_Toc439315472"/>
      <w:bookmarkStart w:id="93" w:name="_Toc439317437"/>
      <w:bookmarkStart w:id="94" w:name="_Toc439317538"/>
      <w:bookmarkStart w:id="95" w:name="_Toc439317639"/>
      <w:bookmarkStart w:id="96" w:name="_Toc439315473"/>
      <w:bookmarkStart w:id="97" w:name="_Toc439317438"/>
      <w:bookmarkStart w:id="98" w:name="_Toc439317539"/>
      <w:bookmarkStart w:id="99" w:name="_Toc439317640"/>
      <w:bookmarkStart w:id="100" w:name="_Toc439315474"/>
      <w:bookmarkStart w:id="101" w:name="_Toc439317439"/>
      <w:bookmarkStart w:id="102" w:name="_Toc439317540"/>
      <w:bookmarkStart w:id="103" w:name="_Toc439317641"/>
      <w:bookmarkStart w:id="104" w:name="_Toc439315475"/>
      <w:bookmarkStart w:id="105" w:name="_Toc439317440"/>
      <w:bookmarkStart w:id="106" w:name="_Toc439317541"/>
      <w:bookmarkStart w:id="107" w:name="_Toc439317642"/>
      <w:bookmarkStart w:id="108" w:name="_Toc439315476"/>
      <w:bookmarkStart w:id="109" w:name="_Toc439317441"/>
      <w:bookmarkStart w:id="110" w:name="_Toc439317542"/>
      <w:bookmarkStart w:id="111" w:name="_Toc439317643"/>
      <w:bookmarkStart w:id="112" w:name="_Toc440553956"/>
      <w:bookmarkStart w:id="113" w:name="_Toc440555398"/>
      <w:bookmarkStart w:id="114" w:name="_Toc440555575"/>
      <w:bookmarkStart w:id="115" w:name="_Toc47431642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DE54E5">
        <w:rPr>
          <w:rFonts w:asciiTheme="minorHAnsi" w:hAnsiTheme="minorHAnsi"/>
        </w:rPr>
        <w:t>Cover Letter and</w:t>
      </w:r>
      <w:r>
        <w:t xml:space="preserve"> </w:t>
      </w:r>
      <w:r>
        <w:rPr>
          <w:rFonts w:asciiTheme="minorHAnsi" w:hAnsiTheme="minorHAnsi"/>
        </w:rPr>
        <w:t>PA Bulletin Information</w:t>
      </w:r>
      <w:bookmarkEnd w:id="115"/>
    </w:p>
    <w:bookmarkEnd w:id="112"/>
    <w:bookmarkEnd w:id="113"/>
    <w:bookmarkEnd w:id="114"/>
    <w:p w14:paraId="3A27D66D" w14:textId="77777777" w:rsidR="003E417C" w:rsidRDefault="009F01C2" w:rsidP="00DE54E5">
      <w:pPr>
        <w:rPr>
          <w:rFonts w:asciiTheme="minorHAnsi" w:hAnsiTheme="minorHAnsi"/>
          <w:szCs w:val="22"/>
        </w:rPr>
      </w:pPr>
      <w:r>
        <w:rPr>
          <w:rFonts w:asciiTheme="minorHAnsi" w:hAnsiTheme="minorHAnsi"/>
        </w:rPr>
        <w:t>The cover letter</w:t>
      </w:r>
      <w:r w:rsidR="00025509">
        <w:rPr>
          <w:rFonts w:asciiTheme="minorHAnsi" w:hAnsiTheme="minorHAnsi"/>
        </w:rPr>
        <w:t xml:space="preserve"> must be a Microsoft </w:t>
      </w:r>
      <w:r w:rsidR="007F4217">
        <w:rPr>
          <w:rFonts w:asciiTheme="minorHAnsi" w:hAnsiTheme="minorHAnsi"/>
        </w:rPr>
        <w:t xml:space="preserve">Word </w:t>
      </w:r>
      <w:r w:rsidR="00025509">
        <w:rPr>
          <w:rFonts w:asciiTheme="minorHAnsi" w:hAnsiTheme="minorHAnsi"/>
        </w:rPr>
        <w:t xml:space="preserve">file and </w:t>
      </w:r>
      <w:r w:rsidR="00D6089A" w:rsidRPr="00BA64B4">
        <w:rPr>
          <w:rFonts w:asciiTheme="minorHAnsi" w:hAnsiTheme="minorHAnsi"/>
        </w:rPr>
        <w:t>must co</w:t>
      </w:r>
      <w:r w:rsidR="003E417C" w:rsidRPr="00BA64B4">
        <w:rPr>
          <w:rFonts w:asciiTheme="minorHAnsi" w:hAnsiTheme="minorHAnsi"/>
        </w:rPr>
        <w:t>ntain the following information</w:t>
      </w:r>
      <w:r w:rsidR="00EB3BD7">
        <w:rPr>
          <w:rFonts w:asciiTheme="minorHAnsi" w:hAnsiTheme="minorHAnsi"/>
        </w:rPr>
        <w:t xml:space="preserve"> in the </w:t>
      </w:r>
      <w:r w:rsidR="00DE54E5">
        <w:rPr>
          <w:rFonts w:asciiTheme="minorHAnsi" w:hAnsiTheme="minorHAnsi"/>
        </w:rPr>
        <w:t>numbered sequence as</w:t>
      </w:r>
      <w:r w:rsidR="00EB3BD7">
        <w:rPr>
          <w:rFonts w:asciiTheme="minorHAnsi" w:hAnsiTheme="minorHAnsi"/>
        </w:rPr>
        <w:t xml:space="preserve"> shown</w:t>
      </w:r>
      <w:r w:rsidR="00DE54E5">
        <w:rPr>
          <w:rFonts w:asciiTheme="minorHAnsi" w:hAnsiTheme="minorHAnsi"/>
        </w:rPr>
        <w:t xml:space="preserve"> below</w:t>
      </w:r>
      <w:r w:rsidR="003E417C" w:rsidRPr="00BA64B4">
        <w:rPr>
          <w:rFonts w:asciiTheme="minorHAnsi" w:hAnsiTheme="minorHAnsi"/>
        </w:rPr>
        <w:t xml:space="preserve">. </w:t>
      </w:r>
      <w:r w:rsidR="0015144D">
        <w:rPr>
          <w:rFonts w:asciiTheme="minorHAnsi" w:hAnsiTheme="minorHAnsi"/>
        </w:rPr>
        <w:t>Notice of a</w:t>
      </w:r>
      <w:r w:rsidR="0015144D" w:rsidRPr="00BA64B4">
        <w:rPr>
          <w:rFonts w:asciiTheme="minorHAnsi" w:hAnsiTheme="minorHAnsi"/>
        </w:rPr>
        <w:t xml:space="preserve">ll rate submissions will be published in the Pennsylvania Bulletin. </w:t>
      </w:r>
      <w:r w:rsidR="0015144D">
        <w:rPr>
          <w:rFonts w:asciiTheme="minorHAnsi" w:hAnsiTheme="minorHAnsi"/>
          <w:szCs w:val="22"/>
        </w:rPr>
        <w:t xml:space="preserve">The published information will be extracted from the Cover Letter. </w:t>
      </w:r>
    </w:p>
    <w:p w14:paraId="2559DA8F" w14:textId="77777777" w:rsidR="00DE54E5" w:rsidRDefault="00DE54E5" w:rsidP="00DE54E5">
      <w:pPr>
        <w:rPr>
          <w:rFonts w:asciiTheme="minorHAnsi" w:hAnsiTheme="minorHAnsi"/>
        </w:rPr>
      </w:pPr>
    </w:p>
    <w:p w14:paraId="032253F4" w14:textId="77777777" w:rsidR="00DE54E5" w:rsidRPr="00BA64B4" w:rsidRDefault="00DE54E5" w:rsidP="00DE54E5">
      <w:pPr>
        <w:rPr>
          <w:rFonts w:asciiTheme="minorHAnsi" w:hAnsiTheme="minorHAnsi"/>
        </w:rPr>
        <w:sectPr w:rsidR="00DE54E5" w:rsidRPr="00BA64B4" w:rsidSect="00786914">
          <w:pgSz w:w="12240" w:h="15840"/>
          <w:pgMar w:top="1440" w:right="1080" w:bottom="1440" w:left="1080" w:header="720" w:footer="720" w:gutter="0"/>
          <w:pgNumType w:start="1"/>
          <w:cols w:space="720"/>
          <w:docGrid w:linePitch="326"/>
        </w:sectPr>
      </w:pPr>
    </w:p>
    <w:p w14:paraId="56FB6D5D"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 xml:space="preserve">Company Name </w:t>
      </w:r>
      <w:r w:rsidR="00D8150F" w:rsidRPr="00BA64B4">
        <w:rPr>
          <w:rFonts w:asciiTheme="minorHAnsi" w:hAnsiTheme="minorHAnsi"/>
        </w:rPr>
        <w:t xml:space="preserve">&amp; NAIC </w:t>
      </w:r>
      <w:r w:rsidR="00025509">
        <w:rPr>
          <w:rFonts w:asciiTheme="minorHAnsi" w:hAnsiTheme="minorHAnsi"/>
        </w:rPr>
        <w:t>number</w:t>
      </w:r>
    </w:p>
    <w:p w14:paraId="069F6BB2"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Market (Individual or Small Group)</w:t>
      </w:r>
    </w:p>
    <w:p w14:paraId="2CF34D27"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On</w:t>
      </w:r>
      <w:r w:rsidR="00037403" w:rsidRPr="00BA64B4">
        <w:rPr>
          <w:rFonts w:asciiTheme="minorHAnsi" w:hAnsiTheme="minorHAnsi"/>
        </w:rPr>
        <w:t xml:space="preserve"> or </w:t>
      </w:r>
      <w:r w:rsidRPr="00BA64B4">
        <w:rPr>
          <w:rFonts w:asciiTheme="minorHAnsi" w:hAnsiTheme="minorHAnsi"/>
        </w:rPr>
        <w:t>Off Exchange</w:t>
      </w:r>
    </w:p>
    <w:p w14:paraId="0CE3A192"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Effective date of coverage</w:t>
      </w:r>
    </w:p>
    <w:p w14:paraId="13BA0DB2"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Average rate change</w:t>
      </w:r>
      <w:r w:rsidR="002B3D79" w:rsidRPr="00BA64B4">
        <w:rPr>
          <w:rFonts w:asciiTheme="minorHAnsi" w:hAnsiTheme="minorHAnsi"/>
        </w:rPr>
        <w:t xml:space="preserve"> requested</w:t>
      </w:r>
    </w:p>
    <w:p w14:paraId="63AC2D38"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Range of rate change</w:t>
      </w:r>
      <w:r w:rsidR="002B3D79" w:rsidRPr="00BA64B4">
        <w:rPr>
          <w:rFonts w:asciiTheme="minorHAnsi" w:hAnsiTheme="minorHAnsi"/>
        </w:rPr>
        <w:t xml:space="preserve"> requested</w:t>
      </w:r>
    </w:p>
    <w:p w14:paraId="5F4FA917"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 xml:space="preserve">Product(s) (Indemnity, HMO, </w:t>
      </w:r>
      <w:r w:rsidR="007A5EB6" w:rsidRPr="00BA64B4">
        <w:rPr>
          <w:rFonts w:asciiTheme="minorHAnsi" w:hAnsiTheme="minorHAnsi"/>
        </w:rPr>
        <w:t xml:space="preserve">POS (HMOs only), </w:t>
      </w:r>
      <w:r w:rsidR="00037403" w:rsidRPr="00BA64B4">
        <w:rPr>
          <w:rFonts w:asciiTheme="minorHAnsi" w:hAnsiTheme="minorHAnsi"/>
        </w:rPr>
        <w:t xml:space="preserve">PPO, </w:t>
      </w:r>
      <w:r w:rsidR="00647B1B" w:rsidRPr="00BA64B4">
        <w:rPr>
          <w:rFonts w:asciiTheme="minorHAnsi" w:hAnsiTheme="minorHAnsi"/>
        </w:rPr>
        <w:t xml:space="preserve">or </w:t>
      </w:r>
      <w:r w:rsidR="00037403" w:rsidRPr="00BA64B4">
        <w:rPr>
          <w:rFonts w:asciiTheme="minorHAnsi" w:hAnsiTheme="minorHAnsi"/>
        </w:rPr>
        <w:t>EPO</w:t>
      </w:r>
      <w:r w:rsidRPr="00BA64B4">
        <w:rPr>
          <w:rFonts w:asciiTheme="minorHAnsi" w:hAnsiTheme="minorHAnsi"/>
        </w:rPr>
        <w:t>)</w:t>
      </w:r>
    </w:p>
    <w:p w14:paraId="0E16B8D7"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Rating Areas</w:t>
      </w:r>
    </w:p>
    <w:p w14:paraId="18BDCFA6"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Metal Levels</w:t>
      </w:r>
      <w:r w:rsidR="00524C5A" w:rsidRPr="00BA64B4">
        <w:rPr>
          <w:rFonts w:asciiTheme="minorHAnsi" w:hAnsiTheme="minorHAnsi"/>
        </w:rPr>
        <w:t xml:space="preserve"> and Catastrophic Plans</w:t>
      </w:r>
    </w:p>
    <w:p w14:paraId="44D3C7FB"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 xml:space="preserve">Current number of </w:t>
      </w:r>
      <w:r w:rsidR="00C4054B" w:rsidRPr="00BA64B4">
        <w:rPr>
          <w:rFonts w:asciiTheme="minorHAnsi" w:hAnsiTheme="minorHAnsi"/>
        </w:rPr>
        <w:t>covered lives and of policyholders</w:t>
      </w:r>
      <w:r w:rsidR="00E62D86" w:rsidRPr="00BA64B4">
        <w:rPr>
          <w:rFonts w:asciiTheme="minorHAnsi" w:hAnsiTheme="minorHAnsi"/>
        </w:rPr>
        <w:t xml:space="preserve"> </w:t>
      </w:r>
      <w:r w:rsidR="00330E26">
        <w:rPr>
          <w:rFonts w:asciiTheme="minorHAnsi" w:hAnsiTheme="minorHAnsi"/>
        </w:rPr>
        <w:t>as of February 1, 2017</w:t>
      </w:r>
    </w:p>
    <w:p w14:paraId="0BABB643"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 xml:space="preserve">Number of plans offered in </w:t>
      </w:r>
      <w:r w:rsidR="007E3F7C" w:rsidRPr="00BA64B4">
        <w:rPr>
          <w:rFonts w:asciiTheme="minorHAnsi" w:hAnsiTheme="minorHAnsi"/>
        </w:rPr>
        <w:t>201</w:t>
      </w:r>
      <w:r w:rsidR="007E3F7C">
        <w:rPr>
          <w:rFonts w:asciiTheme="minorHAnsi" w:hAnsiTheme="minorHAnsi"/>
        </w:rPr>
        <w:t>8 and the change this represents from 2017</w:t>
      </w:r>
    </w:p>
    <w:p w14:paraId="557BE628" w14:textId="77777777" w:rsidR="00BE30F6" w:rsidRPr="00BA64B4" w:rsidRDefault="00BE30F6" w:rsidP="007E6C90">
      <w:pPr>
        <w:pStyle w:val="ListParagraph"/>
        <w:numPr>
          <w:ilvl w:val="0"/>
          <w:numId w:val="11"/>
        </w:numPr>
        <w:rPr>
          <w:rFonts w:asciiTheme="minorHAnsi" w:hAnsiTheme="minorHAnsi"/>
        </w:rPr>
      </w:pPr>
      <w:r w:rsidRPr="00BA64B4">
        <w:rPr>
          <w:rFonts w:asciiTheme="minorHAnsi" w:hAnsiTheme="minorHAnsi"/>
        </w:rPr>
        <w:t xml:space="preserve">Corresponding contract form </w:t>
      </w:r>
      <w:r w:rsidR="00025509">
        <w:rPr>
          <w:rFonts w:asciiTheme="minorHAnsi" w:hAnsiTheme="minorHAnsi"/>
        </w:rPr>
        <w:t>number</w:t>
      </w:r>
      <w:r w:rsidR="00E30E08" w:rsidRPr="00BA64B4">
        <w:rPr>
          <w:rFonts w:asciiTheme="minorHAnsi" w:hAnsiTheme="minorHAnsi"/>
        </w:rPr>
        <w:t>,</w:t>
      </w:r>
      <w:r w:rsidRPr="00BA64B4">
        <w:rPr>
          <w:rFonts w:asciiTheme="minorHAnsi" w:hAnsiTheme="minorHAnsi"/>
        </w:rPr>
        <w:t xml:space="preserve"> SERFF </w:t>
      </w:r>
      <w:r w:rsidR="00E30E08" w:rsidRPr="00BA64B4">
        <w:rPr>
          <w:rFonts w:asciiTheme="minorHAnsi" w:hAnsiTheme="minorHAnsi"/>
        </w:rPr>
        <w:t xml:space="preserve">and Binder </w:t>
      </w:r>
      <w:r w:rsidRPr="00BA64B4">
        <w:rPr>
          <w:rFonts w:asciiTheme="minorHAnsi" w:hAnsiTheme="minorHAnsi"/>
        </w:rPr>
        <w:t>ID</w:t>
      </w:r>
      <w:r w:rsidR="00025509">
        <w:rPr>
          <w:rFonts w:asciiTheme="minorHAnsi" w:hAnsiTheme="minorHAnsi"/>
        </w:rPr>
        <w:t xml:space="preserve"> number</w:t>
      </w:r>
      <w:r w:rsidR="00E30E08" w:rsidRPr="00BA64B4">
        <w:rPr>
          <w:rFonts w:asciiTheme="minorHAnsi" w:hAnsiTheme="minorHAnsi"/>
        </w:rPr>
        <w:t>s</w:t>
      </w:r>
    </w:p>
    <w:p w14:paraId="0D3960C1" w14:textId="77777777" w:rsidR="0091282A" w:rsidRPr="00BA64B4" w:rsidRDefault="00253D61" w:rsidP="007E6C90">
      <w:pPr>
        <w:pStyle w:val="ListParagraph"/>
        <w:numPr>
          <w:ilvl w:val="0"/>
          <w:numId w:val="11"/>
        </w:numPr>
        <w:rPr>
          <w:rFonts w:asciiTheme="minorHAnsi" w:hAnsiTheme="minorHAnsi"/>
        </w:rPr>
        <w:sectPr w:rsidR="0091282A" w:rsidRPr="00BA64B4" w:rsidSect="003E417C">
          <w:type w:val="continuous"/>
          <w:pgSz w:w="12240" w:h="15840"/>
          <w:pgMar w:top="1440" w:right="1080" w:bottom="1440" w:left="1080" w:header="720" w:footer="720" w:gutter="0"/>
          <w:pgNumType w:start="0"/>
          <w:cols w:num="2" w:space="720"/>
          <w:titlePg/>
          <w:docGrid w:linePitch="326"/>
        </w:sectPr>
      </w:pPr>
      <w:r w:rsidRPr="00BA64B4">
        <w:rPr>
          <w:rFonts w:asciiTheme="minorHAnsi" w:hAnsiTheme="minorHAnsi"/>
        </w:rPr>
        <w:t xml:space="preserve">HIOS </w:t>
      </w:r>
      <w:r w:rsidR="00A0274B" w:rsidRPr="00BA64B4">
        <w:rPr>
          <w:rFonts w:asciiTheme="minorHAnsi" w:hAnsiTheme="minorHAnsi"/>
        </w:rPr>
        <w:t xml:space="preserve">Issuer ID # and </w:t>
      </w:r>
      <w:r w:rsidR="00E62D86" w:rsidRPr="00BA64B4">
        <w:rPr>
          <w:rFonts w:asciiTheme="minorHAnsi" w:hAnsiTheme="minorHAnsi"/>
        </w:rPr>
        <w:t xml:space="preserve">submission </w:t>
      </w:r>
      <w:r w:rsidR="0091282A" w:rsidRPr="00BA64B4">
        <w:rPr>
          <w:rFonts w:asciiTheme="minorHAnsi" w:hAnsiTheme="minorHAnsi"/>
        </w:rPr>
        <w:t xml:space="preserve">tracking </w:t>
      </w:r>
      <w:r w:rsidR="00025509">
        <w:rPr>
          <w:rFonts w:asciiTheme="minorHAnsi" w:hAnsiTheme="minorHAnsi"/>
        </w:rPr>
        <w:t>number</w:t>
      </w:r>
    </w:p>
    <w:p w14:paraId="6D4185E1" w14:textId="77777777" w:rsidR="002204B0" w:rsidRPr="00BA64B4" w:rsidRDefault="002204B0" w:rsidP="00417281">
      <w:pPr>
        <w:pStyle w:val="Title"/>
        <w:spacing w:before="240" w:after="240"/>
        <w:rPr>
          <w:rFonts w:asciiTheme="minorHAnsi" w:hAnsiTheme="minorHAnsi"/>
        </w:rPr>
      </w:pPr>
      <w:bookmarkStart w:id="116" w:name="_Toc440553957"/>
      <w:bookmarkStart w:id="117" w:name="_Toc440555399"/>
      <w:bookmarkStart w:id="118" w:name="_Toc440555576"/>
      <w:bookmarkStart w:id="119" w:name="_Toc474316423"/>
      <w:r w:rsidRPr="00BA64B4">
        <w:rPr>
          <w:rFonts w:asciiTheme="minorHAnsi" w:hAnsiTheme="minorHAnsi"/>
        </w:rPr>
        <w:t>Rate Change Request Summary</w:t>
      </w:r>
      <w:bookmarkEnd w:id="116"/>
      <w:bookmarkEnd w:id="117"/>
      <w:bookmarkEnd w:id="118"/>
      <w:bookmarkEnd w:id="119"/>
      <w:r w:rsidRPr="00BA64B4">
        <w:rPr>
          <w:rFonts w:asciiTheme="minorHAnsi" w:hAnsiTheme="minorHAnsi"/>
        </w:rPr>
        <w:t xml:space="preserve"> </w:t>
      </w:r>
    </w:p>
    <w:p w14:paraId="05BA0AAB" w14:textId="77777777" w:rsidR="00F027D7" w:rsidRDefault="008E4C0D" w:rsidP="002204B0">
      <w:pPr>
        <w:rPr>
          <w:rFonts w:asciiTheme="minorHAnsi" w:hAnsiTheme="minorHAnsi"/>
        </w:rPr>
      </w:pPr>
      <w:r w:rsidRPr="00BA64B4">
        <w:rPr>
          <w:rFonts w:asciiTheme="minorHAnsi" w:hAnsiTheme="minorHAnsi"/>
        </w:rPr>
        <w:t>Each issuer must c</w:t>
      </w:r>
      <w:r w:rsidR="002204B0" w:rsidRPr="00BA64B4">
        <w:rPr>
          <w:rFonts w:asciiTheme="minorHAnsi" w:hAnsiTheme="minorHAnsi"/>
        </w:rPr>
        <w:t xml:space="preserve">omplete </w:t>
      </w:r>
      <w:r w:rsidRPr="00BA64B4">
        <w:rPr>
          <w:rFonts w:asciiTheme="minorHAnsi" w:hAnsiTheme="minorHAnsi"/>
        </w:rPr>
        <w:t xml:space="preserve">a </w:t>
      </w:r>
      <w:r w:rsidR="005C1C7D" w:rsidRPr="00BA64B4">
        <w:rPr>
          <w:rFonts w:asciiTheme="minorHAnsi" w:hAnsiTheme="minorHAnsi"/>
        </w:rPr>
        <w:t>separate</w:t>
      </w:r>
      <w:r w:rsidR="002204B0" w:rsidRPr="00BA64B4">
        <w:rPr>
          <w:rFonts w:asciiTheme="minorHAnsi" w:hAnsiTheme="minorHAnsi"/>
        </w:rPr>
        <w:t xml:space="preserve"> Rate Change Request Summary</w:t>
      </w:r>
      <w:r w:rsidRPr="00BA64B4">
        <w:rPr>
          <w:rFonts w:asciiTheme="minorHAnsi" w:hAnsiTheme="minorHAnsi"/>
        </w:rPr>
        <w:t xml:space="preserve"> (see Attachment 1 at the end of this document) for each market (individual and</w:t>
      </w:r>
      <w:r w:rsidR="00CD39DF" w:rsidRPr="00BA64B4">
        <w:rPr>
          <w:rFonts w:asciiTheme="minorHAnsi" w:hAnsiTheme="minorHAnsi"/>
        </w:rPr>
        <w:t>/</w:t>
      </w:r>
      <w:r w:rsidRPr="00BA64B4">
        <w:rPr>
          <w:rFonts w:asciiTheme="minorHAnsi" w:hAnsiTheme="minorHAnsi"/>
        </w:rPr>
        <w:t>or</w:t>
      </w:r>
      <w:r w:rsidR="00CD39DF" w:rsidRPr="00BA64B4">
        <w:rPr>
          <w:rFonts w:asciiTheme="minorHAnsi" w:hAnsiTheme="minorHAnsi"/>
        </w:rPr>
        <w:t xml:space="preserve"> </w:t>
      </w:r>
      <w:r w:rsidRPr="00BA64B4">
        <w:rPr>
          <w:rFonts w:asciiTheme="minorHAnsi" w:hAnsiTheme="minorHAnsi"/>
        </w:rPr>
        <w:t xml:space="preserve">small group) in which it offers plans. </w:t>
      </w:r>
    </w:p>
    <w:p w14:paraId="76A7C252" w14:textId="77777777" w:rsidR="002204B0" w:rsidRDefault="000D4897" w:rsidP="002204B0">
      <w:pPr>
        <w:rPr>
          <w:rFonts w:asciiTheme="minorHAnsi" w:hAnsiTheme="minorHAnsi"/>
          <w:i/>
          <w:u w:val="single"/>
        </w:rPr>
      </w:pPr>
      <w:r w:rsidRPr="00541891">
        <w:rPr>
          <w:rFonts w:asciiTheme="minorHAnsi" w:hAnsiTheme="minorHAnsi"/>
          <w:i/>
        </w:rPr>
        <w:lastRenderedPageBreak/>
        <w:t>Note:</w:t>
      </w:r>
      <w:r w:rsidR="00F027D7" w:rsidRPr="00541891">
        <w:rPr>
          <w:rFonts w:asciiTheme="minorHAnsi" w:hAnsiTheme="minorHAnsi"/>
          <w:i/>
        </w:rPr>
        <w:t xml:space="preserve"> plan year 2017 rate filing guidance stated the following “</w:t>
      </w:r>
      <w:r w:rsidR="00B13FDC" w:rsidRPr="00541891">
        <w:rPr>
          <w:rFonts w:asciiTheme="minorHAnsi" w:hAnsiTheme="minorHAnsi"/>
          <w:i/>
        </w:rPr>
        <w:t xml:space="preserve">the </w:t>
      </w:r>
      <w:r w:rsidRPr="00541891">
        <w:rPr>
          <w:rFonts w:asciiTheme="minorHAnsi" w:hAnsiTheme="minorHAnsi"/>
          <w:i/>
        </w:rPr>
        <w:t xml:space="preserve">2015 financial </w:t>
      </w:r>
      <w:r w:rsidR="00B13FDC" w:rsidRPr="00541891">
        <w:rPr>
          <w:rFonts w:asciiTheme="minorHAnsi" w:hAnsiTheme="minorHAnsi"/>
          <w:i/>
        </w:rPr>
        <w:t xml:space="preserve">information in Attachment </w:t>
      </w:r>
      <w:r w:rsidR="00922998" w:rsidRPr="00541891">
        <w:rPr>
          <w:rFonts w:asciiTheme="minorHAnsi" w:hAnsiTheme="minorHAnsi"/>
          <w:i/>
        </w:rPr>
        <w:t xml:space="preserve">1 </w:t>
      </w:r>
      <w:r w:rsidR="00B13FDC" w:rsidRPr="00541891">
        <w:rPr>
          <w:rFonts w:asciiTheme="minorHAnsi" w:hAnsiTheme="minorHAnsi"/>
          <w:i/>
        </w:rPr>
        <w:t>should be consistent with the Supplemental Health Care Exhibit included in the 2015 Annual Financial Statement for the market.</w:t>
      </w:r>
      <w:r w:rsidR="00F6077C" w:rsidRPr="00541891">
        <w:rPr>
          <w:rFonts w:asciiTheme="minorHAnsi" w:hAnsiTheme="minorHAnsi"/>
          <w:i/>
        </w:rPr>
        <w:t xml:space="preserve">  If </w:t>
      </w:r>
      <w:r w:rsidRPr="00541891">
        <w:rPr>
          <w:rFonts w:asciiTheme="minorHAnsi" w:hAnsiTheme="minorHAnsi"/>
          <w:i/>
        </w:rPr>
        <w:t xml:space="preserve">it is </w:t>
      </w:r>
      <w:r w:rsidR="00F6077C" w:rsidRPr="00541891">
        <w:rPr>
          <w:rFonts w:asciiTheme="minorHAnsi" w:hAnsiTheme="minorHAnsi"/>
          <w:i/>
        </w:rPr>
        <w:t xml:space="preserve">not, </w:t>
      </w:r>
      <w:r w:rsidRPr="00541891">
        <w:rPr>
          <w:rFonts w:asciiTheme="minorHAnsi" w:hAnsiTheme="minorHAnsi"/>
          <w:i/>
        </w:rPr>
        <w:t>explain why.</w:t>
      </w:r>
      <w:r w:rsidR="00F027D7" w:rsidRPr="00541891">
        <w:rPr>
          <w:rFonts w:asciiTheme="minorHAnsi" w:hAnsiTheme="minorHAnsi"/>
          <w:i/>
        </w:rPr>
        <w:t xml:space="preserve">” </w:t>
      </w:r>
      <w:r w:rsidRPr="00541891">
        <w:rPr>
          <w:rFonts w:asciiTheme="minorHAnsi" w:hAnsiTheme="minorHAnsi"/>
          <w:i/>
        </w:rPr>
        <w:t xml:space="preserve"> </w:t>
      </w:r>
      <w:r w:rsidR="00F027D7" w:rsidRPr="00541891">
        <w:rPr>
          <w:rFonts w:asciiTheme="minorHAnsi" w:hAnsiTheme="minorHAnsi"/>
          <w:i/>
        </w:rPr>
        <w:t xml:space="preserve">We have subsequently received comments from issuers that using information from the SHCE for the “financial experience” section of the Rate Change Request Summary is not ideal, as it represents the entire individual market, not just the ACA-compliant business that is the subject of the rate filing, and that the SHCE numbers are not adjusted for final risk adjustment transfers. </w:t>
      </w:r>
      <w:r w:rsidR="00F027D7" w:rsidRPr="00541891">
        <w:rPr>
          <w:rFonts w:asciiTheme="minorHAnsi" w:hAnsiTheme="minorHAnsi"/>
          <w:i/>
          <w:u w:val="single"/>
        </w:rPr>
        <w:t xml:space="preserve">We welcome comments on how to revise our guidance on this issue, and/or the Rate Change Request Summary template, to address these concerns, while continuing to ensure that all issuers report </w:t>
      </w:r>
      <w:r w:rsidR="00541891" w:rsidRPr="00541891">
        <w:rPr>
          <w:rFonts w:asciiTheme="minorHAnsi" w:hAnsiTheme="minorHAnsi"/>
          <w:i/>
          <w:u w:val="single"/>
        </w:rPr>
        <w:t xml:space="preserve">summary financial experience </w:t>
      </w:r>
      <w:r w:rsidR="00F027D7" w:rsidRPr="00541891">
        <w:rPr>
          <w:rFonts w:asciiTheme="minorHAnsi" w:hAnsiTheme="minorHAnsi"/>
          <w:i/>
          <w:u w:val="single"/>
        </w:rPr>
        <w:t>information derived in a consistent manner</w:t>
      </w:r>
      <w:r w:rsidR="00541891" w:rsidRPr="00541891">
        <w:rPr>
          <w:rFonts w:asciiTheme="minorHAnsi" w:hAnsiTheme="minorHAnsi"/>
          <w:i/>
          <w:u w:val="single"/>
        </w:rPr>
        <w:t xml:space="preserve"> across issuers</w:t>
      </w:r>
      <w:r w:rsidR="00F027D7" w:rsidRPr="00541891">
        <w:rPr>
          <w:rFonts w:asciiTheme="minorHAnsi" w:hAnsiTheme="minorHAnsi"/>
          <w:i/>
          <w:u w:val="single"/>
        </w:rPr>
        <w:t>.</w:t>
      </w:r>
    </w:p>
    <w:p w14:paraId="1CD6B8C1" w14:textId="77777777" w:rsidR="00E330D8" w:rsidRDefault="00E330D8" w:rsidP="002204B0">
      <w:pPr>
        <w:rPr>
          <w:rFonts w:asciiTheme="minorHAnsi" w:hAnsiTheme="minorHAnsi"/>
          <w:i/>
          <w:u w:val="single"/>
        </w:rPr>
      </w:pPr>
    </w:p>
    <w:p w14:paraId="747A8C6B" w14:textId="77777777" w:rsidR="00E330D8" w:rsidRPr="00541891" w:rsidRDefault="00E330D8" w:rsidP="002204B0">
      <w:pPr>
        <w:rPr>
          <w:rFonts w:asciiTheme="minorHAnsi" w:hAnsiTheme="minorHAnsi"/>
          <w:i/>
          <w:u w:val="single"/>
        </w:rPr>
      </w:pPr>
    </w:p>
    <w:p w14:paraId="1C69C994" w14:textId="6C68C96D" w:rsidR="00DE72C7" w:rsidRPr="00BA64B4" w:rsidRDefault="00037403" w:rsidP="00271157">
      <w:pPr>
        <w:pStyle w:val="Title"/>
        <w:ind w:left="576" w:hanging="576"/>
        <w:rPr>
          <w:rFonts w:asciiTheme="minorHAnsi" w:hAnsiTheme="minorHAnsi"/>
        </w:rPr>
      </w:pPr>
      <w:bookmarkStart w:id="120" w:name="_Toc440553958"/>
      <w:bookmarkStart w:id="121" w:name="_Toc440555400"/>
      <w:bookmarkStart w:id="122" w:name="_Toc440555577"/>
      <w:bookmarkStart w:id="123" w:name="_Toc474316424"/>
      <w:r w:rsidRPr="00BA64B4">
        <w:rPr>
          <w:rFonts w:asciiTheme="minorHAnsi" w:hAnsiTheme="minorHAnsi"/>
        </w:rPr>
        <w:t xml:space="preserve">Pennsylvania </w:t>
      </w:r>
      <w:r w:rsidR="00DE72C7" w:rsidRPr="00BA64B4">
        <w:rPr>
          <w:rFonts w:asciiTheme="minorHAnsi" w:hAnsiTheme="minorHAnsi"/>
        </w:rPr>
        <w:t>Actuarial Memorandum</w:t>
      </w:r>
      <w:bookmarkEnd w:id="120"/>
      <w:bookmarkEnd w:id="121"/>
      <w:bookmarkEnd w:id="122"/>
      <w:r w:rsidR="00D6089A" w:rsidRPr="00BA64B4">
        <w:rPr>
          <w:rFonts w:asciiTheme="minorHAnsi" w:hAnsiTheme="minorHAnsi"/>
        </w:rPr>
        <w:t xml:space="preserve"> </w:t>
      </w:r>
      <w:r w:rsidR="00786914">
        <w:rPr>
          <w:rFonts w:asciiTheme="minorHAnsi" w:hAnsiTheme="minorHAnsi"/>
        </w:rPr>
        <w:t>&amp; Rate Exhibits</w:t>
      </w:r>
      <w:bookmarkEnd w:id="123"/>
    </w:p>
    <w:p w14:paraId="2166EB0A" w14:textId="77777777" w:rsidR="00FB3DCF" w:rsidRPr="00BA64B4" w:rsidRDefault="00CD39DF" w:rsidP="00B47CAC">
      <w:pPr>
        <w:rPr>
          <w:rFonts w:asciiTheme="minorHAnsi" w:hAnsiTheme="minorHAnsi"/>
        </w:rPr>
      </w:pPr>
      <w:r w:rsidRPr="00BA64B4">
        <w:rPr>
          <w:rFonts w:asciiTheme="minorHAnsi" w:hAnsiTheme="minorHAnsi"/>
        </w:rPr>
        <w:t>The PA</w:t>
      </w:r>
      <w:r w:rsidR="0080005A" w:rsidRPr="00BA64B4">
        <w:rPr>
          <w:rFonts w:asciiTheme="minorHAnsi" w:hAnsiTheme="minorHAnsi"/>
        </w:rPr>
        <w:t xml:space="preserve"> </w:t>
      </w:r>
      <w:r w:rsidRPr="00BA64B4">
        <w:rPr>
          <w:rFonts w:asciiTheme="minorHAnsi" w:hAnsiTheme="minorHAnsi"/>
        </w:rPr>
        <w:t xml:space="preserve">Actuarial Memorandum </w:t>
      </w:r>
      <w:r w:rsidR="0000662C" w:rsidRPr="00BA64B4">
        <w:rPr>
          <w:rFonts w:asciiTheme="minorHAnsi" w:hAnsiTheme="minorHAnsi"/>
        </w:rPr>
        <w:t>must be provided for all rate submissions</w:t>
      </w:r>
      <w:r w:rsidR="0080005A" w:rsidRPr="00BA64B4">
        <w:rPr>
          <w:rFonts w:asciiTheme="minorHAnsi" w:hAnsiTheme="minorHAnsi"/>
        </w:rPr>
        <w:t xml:space="preserve">. </w:t>
      </w:r>
      <w:r w:rsidR="00DE7DF7" w:rsidRPr="00BA64B4">
        <w:rPr>
          <w:rFonts w:asciiTheme="minorHAnsi" w:hAnsiTheme="minorHAnsi"/>
        </w:rPr>
        <w:t xml:space="preserve"> </w:t>
      </w:r>
      <w:r w:rsidR="003A30B9" w:rsidRPr="00BA64B4">
        <w:rPr>
          <w:rFonts w:asciiTheme="minorHAnsi" w:hAnsiTheme="minorHAnsi"/>
        </w:rPr>
        <w:t>This memorandum must</w:t>
      </w:r>
      <w:r w:rsidR="00FB3DCF" w:rsidRPr="00BA64B4">
        <w:rPr>
          <w:rFonts w:asciiTheme="minorHAnsi" w:hAnsiTheme="minorHAnsi"/>
        </w:rPr>
        <w:t>:</w:t>
      </w:r>
      <w:r w:rsidR="003A30B9" w:rsidRPr="00BA64B4">
        <w:rPr>
          <w:rFonts w:asciiTheme="minorHAnsi" w:hAnsiTheme="minorHAnsi"/>
        </w:rPr>
        <w:t xml:space="preserve"> </w:t>
      </w:r>
    </w:p>
    <w:p w14:paraId="0453A1EC" w14:textId="77777777" w:rsidR="00D24AD0" w:rsidRPr="00BA64B4" w:rsidRDefault="00FB3DCF" w:rsidP="007E6C90">
      <w:pPr>
        <w:pStyle w:val="ListParagraph"/>
        <w:numPr>
          <w:ilvl w:val="0"/>
          <w:numId w:val="9"/>
        </w:numPr>
        <w:rPr>
          <w:rFonts w:asciiTheme="minorHAnsi" w:hAnsiTheme="minorHAnsi"/>
        </w:rPr>
      </w:pPr>
      <w:r w:rsidRPr="00BA64B4">
        <w:rPr>
          <w:rFonts w:asciiTheme="minorHAnsi" w:hAnsiTheme="minorHAnsi"/>
        </w:rPr>
        <w:t xml:space="preserve">Document </w:t>
      </w:r>
      <w:r w:rsidR="00336A5C" w:rsidRPr="00BA64B4">
        <w:rPr>
          <w:rFonts w:asciiTheme="minorHAnsi" w:hAnsiTheme="minorHAnsi"/>
        </w:rPr>
        <w:t xml:space="preserve">and show </w:t>
      </w:r>
      <w:r w:rsidRPr="00BA64B4">
        <w:rPr>
          <w:rFonts w:asciiTheme="minorHAnsi" w:hAnsiTheme="minorHAnsi"/>
        </w:rPr>
        <w:t xml:space="preserve">the development of the proposed per member per month </w:t>
      </w:r>
      <w:r w:rsidR="00CD39DF" w:rsidRPr="00BA64B4">
        <w:rPr>
          <w:rFonts w:asciiTheme="minorHAnsi" w:hAnsiTheme="minorHAnsi"/>
        </w:rPr>
        <w:t>21-year-old premium rates</w:t>
      </w:r>
      <w:r w:rsidR="00082ECD" w:rsidRPr="00BA64B4">
        <w:rPr>
          <w:rFonts w:asciiTheme="minorHAnsi" w:hAnsiTheme="minorHAnsi"/>
        </w:rPr>
        <w:t xml:space="preserve"> </w:t>
      </w:r>
      <w:r w:rsidRPr="00BA64B4">
        <w:rPr>
          <w:rFonts w:asciiTheme="minorHAnsi" w:hAnsiTheme="minorHAnsi"/>
        </w:rPr>
        <w:t xml:space="preserve">starting from the </w:t>
      </w:r>
      <w:r w:rsidR="00082ECD" w:rsidRPr="00BA64B4">
        <w:rPr>
          <w:rFonts w:asciiTheme="minorHAnsi" w:hAnsiTheme="minorHAnsi"/>
        </w:rPr>
        <w:t xml:space="preserve">experience period </w:t>
      </w:r>
      <w:r w:rsidR="00D24AD0" w:rsidRPr="00BA64B4">
        <w:rPr>
          <w:rFonts w:asciiTheme="minorHAnsi" w:hAnsiTheme="minorHAnsi"/>
        </w:rPr>
        <w:t xml:space="preserve">allowed </w:t>
      </w:r>
      <w:r w:rsidRPr="00BA64B4">
        <w:rPr>
          <w:rFonts w:asciiTheme="minorHAnsi" w:hAnsiTheme="minorHAnsi"/>
        </w:rPr>
        <w:t xml:space="preserve">claims data </w:t>
      </w:r>
      <w:r w:rsidR="00082ECD" w:rsidRPr="00BA64B4">
        <w:rPr>
          <w:rFonts w:asciiTheme="minorHAnsi" w:hAnsiTheme="minorHAnsi"/>
        </w:rPr>
        <w:t>for</w:t>
      </w:r>
      <w:r w:rsidRPr="00BA64B4">
        <w:rPr>
          <w:rFonts w:asciiTheme="minorHAnsi" w:hAnsiTheme="minorHAnsi"/>
        </w:rPr>
        <w:t xml:space="preserve"> the single risk pool.   </w:t>
      </w:r>
      <w:r w:rsidR="00336A5C" w:rsidRPr="00BA64B4">
        <w:rPr>
          <w:rFonts w:asciiTheme="minorHAnsi" w:hAnsiTheme="minorHAnsi"/>
        </w:rPr>
        <w:t>All adjustments and assumptions must be discussed and supporting documentation and data provided.</w:t>
      </w:r>
      <w:r w:rsidR="00D24AD0" w:rsidRPr="00BA64B4">
        <w:rPr>
          <w:rFonts w:asciiTheme="minorHAnsi" w:hAnsiTheme="minorHAnsi"/>
        </w:rPr>
        <w:t xml:space="preserve"> Data elements include:</w:t>
      </w:r>
    </w:p>
    <w:p w14:paraId="1777928F" w14:textId="77777777" w:rsidR="00D24AD0" w:rsidRPr="00BA64B4" w:rsidRDefault="00D24AD0" w:rsidP="007E6C90">
      <w:pPr>
        <w:pStyle w:val="ListParagraph"/>
        <w:numPr>
          <w:ilvl w:val="1"/>
          <w:numId w:val="9"/>
        </w:numPr>
        <w:rPr>
          <w:rFonts w:asciiTheme="minorHAnsi" w:hAnsiTheme="minorHAnsi"/>
        </w:rPr>
      </w:pPr>
      <w:r w:rsidRPr="00BA64B4">
        <w:rPr>
          <w:rFonts w:asciiTheme="minorHAnsi" w:hAnsiTheme="minorHAnsi"/>
        </w:rPr>
        <w:t>Index rate development</w:t>
      </w:r>
    </w:p>
    <w:p w14:paraId="613E37C9" w14:textId="77777777" w:rsidR="00D24AD0" w:rsidRPr="00541891" w:rsidRDefault="00D24AD0" w:rsidP="007E6C90">
      <w:pPr>
        <w:pStyle w:val="ListParagraph"/>
        <w:numPr>
          <w:ilvl w:val="2"/>
          <w:numId w:val="9"/>
        </w:numPr>
        <w:rPr>
          <w:rFonts w:asciiTheme="minorHAnsi" w:hAnsiTheme="minorHAnsi"/>
        </w:rPr>
      </w:pPr>
      <w:r w:rsidRPr="00541891">
        <w:rPr>
          <w:rFonts w:asciiTheme="minorHAnsi" w:hAnsiTheme="minorHAnsi"/>
        </w:rPr>
        <w:t>Base period allowed</w:t>
      </w:r>
      <w:r w:rsidR="007F4217" w:rsidRPr="00541891">
        <w:rPr>
          <w:rFonts w:asciiTheme="minorHAnsi" w:hAnsiTheme="minorHAnsi"/>
        </w:rPr>
        <w:t xml:space="preserve"> claims</w:t>
      </w:r>
      <w:r w:rsidRPr="00541891">
        <w:rPr>
          <w:rFonts w:asciiTheme="minorHAnsi" w:hAnsiTheme="minorHAnsi"/>
        </w:rPr>
        <w:t xml:space="preserve"> (both experience and manual, if a manual rate is used)</w:t>
      </w:r>
      <w:r w:rsidR="007F4217" w:rsidRPr="00541891">
        <w:rPr>
          <w:rFonts w:asciiTheme="minorHAnsi" w:hAnsiTheme="minorHAnsi"/>
        </w:rPr>
        <w:t xml:space="preserve">  </w:t>
      </w:r>
      <w:r w:rsidRPr="00541891">
        <w:rPr>
          <w:rFonts w:asciiTheme="minorHAnsi" w:hAnsiTheme="minorHAnsi"/>
        </w:rPr>
        <w:t>Morbidity adjustments (both experience and manual, if a manual rate is used)</w:t>
      </w:r>
    </w:p>
    <w:p w14:paraId="2AEF10EF"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Other adjustments with detail for all the elements included (both experience and manual, if a manual rate is used)</w:t>
      </w:r>
      <w:r w:rsidR="007F4217">
        <w:rPr>
          <w:rFonts w:asciiTheme="minorHAnsi" w:hAnsiTheme="minorHAnsi"/>
        </w:rPr>
        <w:t xml:space="preserve">.  </w:t>
      </w:r>
    </w:p>
    <w:p w14:paraId="30695E6B"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Utilization trends by type of service (both experience and manual, if a manual rate is used)</w:t>
      </w:r>
    </w:p>
    <w:p w14:paraId="5557EE2F"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Cost trends by type of service (both experience and manual, if a manual rate is used)</w:t>
      </w:r>
    </w:p>
    <w:p w14:paraId="29596D92"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Paid to allowed factor</w:t>
      </w:r>
    </w:p>
    <w:p w14:paraId="66CD547A"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Reduction for non-EHB benefits</w:t>
      </w:r>
    </w:p>
    <w:p w14:paraId="6E2EAF5F" w14:textId="77777777" w:rsidR="00D24AD0" w:rsidRPr="00BA64B4" w:rsidRDefault="00D24AD0" w:rsidP="007E6C90">
      <w:pPr>
        <w:pStyle w:val="ListParagraph"/>
        <w:numPr>
          <w:ilvl w:val="1"/>
          <w:numId w:val="9"/>
        </w:numPr>
        <w:rPr>
          <w:rFonts w:asciiTheme="minorHAnsi" w:hAnsiTheme="minorHAnsi"/>
        </w:rPr>
      </w:pPr>
      <w:r w:rsidRPr="00BA64B4">
        <w:rPr>
          <w:rFonts w:asciiTheme="minorHAnsi" w:hAnsiTheme="minorHAnsi"/>
        </w:rPr>
        <w:t>Market Adjusted Index Rate development</w:t>
      </w:r>
    </w:p>
    <w:p w14:paraId="100AD4AA"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 xml:space="preserve">Net risk adjustment on an allowed </w:t>
      </w:r>
      <w:r w:rsidR="00C0552F">
        <w:rPr>
          <w:rFonts w:asciiTheme="minorHAnsi" w:hAnsiTheme="minorHAnsi"/>
        </w:rPr>
        <w:t xml:space="preserve">and paid </w:t>
      </w:r>
      <w:r w:rsidRPr="00BA64B4">
        <w:rPr>
          <w:rFonts w:asciiTheme="minorHAnsi" w:hAnsiTheme="minorHAnsi"/>
        </w:rPr>
        <w:t>PMPM basis</w:t>
      </w:r>
    </w:p>
    <w:p w14:paraId="0A8D28B2"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 xml:space="preserve">Exchange user fee on an allowed </w:t>
      </w:r>
      <w:r w:rsidR="00C0552F">
        <w:rPr>
          <w:rFonts w:asciiTheme="minorHAnsi" w:hAnsiTheme="minorHAnsi"/>
        </w:rPr>
        <w:t xml:space="preserve">and paid </w:t>
      </w:r>
      <w:r w:rsidRPr="00BA64B4">
        <w:rPr>
          <w:rFonts w:asciiTheme="minorHAnsi" w:hAnsiTheme="minorHAnsi"/>
        </w:rPr>
        <w:t>PMPM basis</w:t>
      </w:r>
    </w:p>
    <w:p w14:paraId="645EEB36" w14:textId="77777777" w:rsidR="00D24AD0" w:rsidRPr="00BA64B4" w:rsidRDefault="00D24AD0" w:rsidP="007E6C90">
      <w:pPr>
        <w:pStyle w:val="ListParagraph"/>
        <w:numPr>
          <w:ilvl w:val="1"/>
          <w:numId w:val="9"/>
        </w:numPr>
        <w:rPr>
          <w:rFonts w:asciiTheme="minorHAnsi" w:hAnsiTheme="minorHAnsi"/>
        </w:rPr>
      </w:pPr>
      <w:r w:rsidRPr="00BA64B4">
        <w:rPr>
          <w:rFonts w:asciiTheme="minorHAnsi" w:hAnsiTheme="minorHAnsi"/>
        </w:rPr>
        <w:t>Plan Adjusted Index Rate development</w:t>
      </w:r>
    </w:p>
    <w:p w14:paraId="28725973"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Actuarial value (incurred to allowed factor)</w:t>
      </w:r>
    </w:p>
    <w:p w14:paraId="45DE5AA8"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Benefit richness factor (induced utilization) (before and after normalization)</w:t>
      </w:r>
    </w:p>
    <w:p w14:paraId="7E48BC9D"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Catastrophic plan factor</w:t>
      </w:r>
    </w:p>
    <w:p w14:paraId="4778CE38"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Network and managed care factor</w:t>
      </w:r>
    </w:p>
    <w:p w14:paraId="008C0580"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 xml:space="preserve">Tobacco </w:t>
      </w:r>
      <w:r w:rsidR="00CC3CAA">
        <w:rPr>
          <w:rFonts w:asciiTheme="minorHAnsi" w:hAnsiTheme="minorHAnsi"/>
        </w:rPr>
        <w:t xml:space="preserve"> surcharge factor</w:t>
      </w:r>
      <w:r w:rsidR="008376D2">
        <w:rPr>
          <w:rFonts w:asciiTheme="minorHAnsi" w:hAnsiTheme="minorHAnsi"/>
        </w:rPr>
        <w:t xml:space="preserve"> (show and discuss development)</w:t>
      </w:r>
    </w:p>
    <w:p w14:paraId="16BBBA19"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Non-benefit factor</w:t>
      </w:r>
      <w:r w:rsidR="008376D2">
        <w:rPr>
          <w:rFonts w:asciiTheme="minorHAnsi" w:hAnsiTheme="minorHAnsi"/>
        </w:rPr>
        <w:t xml:space="preserve"> (such as admin, taxes and fees and profit)</w:t>
      </w:r>
    </w:p>
    <w:p w14:paraId="3ADF0635" w14:textId="77777777" w:rsidR="00D24AD0" w:rsidRPr="00BA64B4" w:rsidRDefault="00D24AD0" w:rsidP="007E6C90">
      <w:pPr>
        <w:pStyle w:val="ListParagraph"/>
        <w:numPr>
          <w:ilvl w:val="1"/>
          <w:numId w:val="9"/>
        </w:numPr>
        <w:rPr>
          <w:rFonts w:asciiTheme="minorHAnsi" w:hAnsiTheme="minorHAnsi"/>
        </w:rPr>
      </w:pPr>
      <w:r w:rsidRPr="00BA64B4">
        <w:rPr>
          <w:rFonts w:asciiTheme="minorHAnsi" w:hAnsiTheme="minorHAnsi"/>
        </w:rPr>
        <w:t>Age 21 premium rate development</w:t>
      </w:r>
    </w:p>
    <w:p w14:paraId="18FDFC48"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Age calibration</w:t>
      </w:r>
      <w:r w:rsidR="008376D2">
        <w:rPr>
          <w:rFonts w:asciiTheme="minorHAnsi" w:hAnsiTheme="minorHAnsi"/>
        </w:rPr>
        <w:t xml:space="preserve"> (show and discuss development)</w:t>
      </w:r>
    </w:p>
    <w:p w14:paraId="62C409DB" w14:textId="77777777" w:rsidR="00D24AD0" w:rsidRPr="00BA64B4" w:rsidRDefault="00D24AD0" w:rsidP="007E6C90">
      <w:pPr>
        <w:pStyle w:val="ListParagraph"/>
        <w:numPr>
          <w:ilvl w:val="2"/>
          <w:numId w:val="9"/>
        </w:numPr>
        <w:rPr>
          <w:rFonts w:asciiTheme="minorHAnsi" w:hAnsiTheme="minorHAnsi"/>
        </w:rPr>
      </w:pPr>
      <w:r w:rsidRPr="00BA64B4">
        <w:rPr>
          <w:rFonts w:asciiTheme="minorHAnsi" w:hAnsiTheme="minorHAnsi"/>
        </w:rPr>
        <w:t>Geographic calibration</w:t>
      </w:r>
      <w:r w:rsidR="008376D2">
        <w:rPr>
          <w:rFonts w:asciiTheme="minorHAnsi" w:hAnsiTheme="minorHAnsi"/>
        </w:rPr>
        <w:t xml:space="preserve"> (show and discuss development)</w:t>
      </w:r>
    </w:p>
    <w:p w14:paraId="15BAFD23" w14:textId="77777777" w:rsidR="00FB3DCF" w:rsidRPr="00BA64B4" w:rsidRDefault="00FB3DCF" w:rsidP="007E6C90">
      <w:pPr>
        <w:pStyle w:val="ListParagraph"/>
        <w:numPr>
          <w:ilvl w:val="0"/>
          <w:numId w:val="9"/>
        </w:numPr>
        <w:rPr>
          <w:rFonts w:asciiTheme="minorHAnsi" w:hAnsiTheme="minorHAnsi"/>
        </w:rPr>
      </w:pPr>
      <w:r w:rsidRPr="00BA64B4">
        <w:rPr>
          <w:rFonts w:asciiTheme="minorHAnsi" w:hAnsiTheme="minorHAnsi"/>
        </w:rPr>
        <w:t>P</w:t>
      </w:r>
      <w:r w:rsidR="003A30B9" w:rsidRPr="00BA64B4">
        <w:rPr>
          <w:rFonts w:asciiTheme="minorHAnsi" w:hAnsiTheme="minorHAnsi"/>
        </w:rPr>
        <w:t>rovide</w:t>
      </w:r>
      <w:r w:rsidR="00851297" w:rsidRPr="00BA64B4">
        <w:rPr>
          <w:rFonts w:asciiTheme="minorHAnsi" w:hAnsiTheme="minorHAnsi"/>
        </w:rPr>
        <w:t xml:space="preserve"> </w:t>
      </w:r>
      <w:r w:rsidR="00D24AD0" w:rsidRPr="00BA64B4">
        <w:rPr>
          <w:rFonts w:asciiTheme="minorHAnsi" w:hAnsiTheme="minorHAnsi"/>
        </w:rPr>
        <w:t xml:space="preserve">each plan’s </w:t>
      </w:r>
      <w:r w:rsidR="00421E9D" w:rsidRPr="00BA64B4">
        <w:rPr>
          <w:rFonts w:asciiTheme="minorHAnsi" w:hAnsiTheme="minorHAnsi"/>
        </w:rPr>
        <w:t xml:space="preserve">corresponding </w:t>
      </w:r>
      <w:r w:rsidR="00B773D4" w:rsidRPr="00BA64B4">
        <w:rPr>
          <w:rFonts w:asciiTheme="minorHAnsi" w:hAnsiTheme="minorHAnsi"/>
        </w:rPr>
        <w:t>policy form number</w:t>
      </w:r>
      <w:r w:rsidR="00421E9D" w:rsidRPr="00BA64B4">
        <w:rPr>
          <w:rFonts w:asciiTheme="minorHAnsi" w:hAnsiTheme="minorHAnsi"/>
        </w:rPr>
        <w:t xml:space="preserve">s </w:t>
      </w:r>
      <w:r w:rsidR="00EE5578" w:rsidRPr="00BA64B4">
        <w:rPr>
          <w:rFonts w:asciiTheme="minorHAnsi" w:hAnsiTheme="minorHAnsi"/>
        </w:rPr>
        <w:t>and</w:t>
      </w:r>
      <w:r w:rsidR="00AB00F6" w:rsidRPr="00BA64B4">
        <w:rPr>
          <w:rFonts w:asciiTheme="minorHAnsi" w:hAnsiTheme="minorHAnsi"/>
        </w:rPr>
        <w:t xml:space="preserve"> </w:t>
      </w:r>
      <w:r w:rsidR="00EE5578" w:rsidRPr="00BA64B4">
        <w:rPr>
          <w:rFonts w:asciiTheme="minorHAnsi" w:hAnsiTheme="minorHAnsi"/>
        </w:rPr>
        <w:t xml:space="preserve">AV </w:t>
      </w:r>
      <w:r w:rsidR="00CD39DF" w:rsidRPr="00BA64B4">
        <w:rPr>
          <w:rFonts w:asciiTheme="minorHAnsi" w:hAnsiTheme="minorHAnsi"/>
        </w:rPr>
        <w:t>s</w:t>
      </w:r>
      <w:r w:rsidR="00EE5578" w:rsidRPr="00BA64B4">
        <w:rPr>
          <w:rFonts w:asciiTheme="minorHAnsi" w:hAnsiTheme="minorHAnsi"/>
        </w:rPr>
        <w:t>creenshots.  The HIOS Plan ID and contract form numbers must be included on the screenshot.</w:t>
      </w:r>
    </w:p>
    <w:p w14:paraId="418DF4BE" w14:textId="77777777" w:rsidR="003A09AE" w:rsidRPr="00BA64B4" w:rsidRDefault="007B4636" w:rsidP="007E6C90">
      <w:pPr>
        <w:pStyle w:val="ListParagraph"/>
        <w:numPr>
          <w:ilvl w:val="0"/>
          <w:numId w:val="9"/>
        </w:numPr>
        <w:rPr>
          <w:rFonts w:asciiTheme="minorHAnsi" w:hAnsiTheme="minorHAnsi"/>
        </w:rPr>
      </w:pPr>
      <w:r w:rsidRPr="00BA64B4">
        <w:rPr>
          <w:rFonts w:asciiTheme="minorHAnsi" w:hAnsiTheme="minorHAnsi"/>
        </w:rPr>
        <w:lastRenderedPageBreak/>
        <w:t>Demonstrate that the proposed rate</w:t>
      </w:r>
      <w:r w:rsidR="00421E9D" w:rsidRPr="00BA64B4">
        <w:rPr>
          <w:rFonts w:asciiTheme="minorHAnsi" w:hAnsiTheme="minorHAnsi"/>
        </w:rPr>
        <w:t>s</w:t>
      </w:r>
      <w:r w:rsidRPr="00BA64B4">
        <w:rPr>
          <w:rFonts w:asciiTheme="minorHAnsi" w:hAnsiTheme="minorHAnsi"/>
        </w:rPr>
        <w:t xml:space="preserve"> </w:t>
      </w:r>
      <w:r w:rsidR="00421E9D" w:rsidRPr="00BA64B4">
        <w:rPr>
          <w:rFonts w:asciiTheme="minorHAnsi" w:hAnsiTheme="minorHAnsi"/>
        </w:rPr>
        <w:t>are</w:t>
      </w:r>
      <w:r w:rsidRPr="00BA64B4">
        <w:rPr>
          <w:rFonts w:asciiTheme="minorHAnsi" w:hAnsiTheme="minorHAnsi"/>
        </w:rPr>
        <w:t xml:space="preserve"> </w:t>
      </w:r>
      <w:r w:rsidR="003A09AE" w:rsidRPr="00BA64B4">
        <w:rPr>
          <w:rFonts w:asciiTheme="minorHAnsi" w:hAnsiTheme="minorHAnsi"/>
        </w:rPr>
        <w:t>based on the single risk pool</w:t>
      </w:r>
      <w:r w:rsidR="0000662C" w:rsidRPr="00BA64B4">
        <w:rPr>
          <w:rFonts w:asciiTheme="minorHAnsi" w:hAnsiTheme="minorHAnsi"/>
        </w:rPr>
        <w:t xml:space="preserve"> and are developed in a manner consistent with applicable </w:t>
      </w:r>
      <w:r w:rsidR="00CD39DF" w:rsidRPr="00BA64B4">
        <w:rPr>
          <w:rFonts w:asciiTheme="minorHAnsi" w:hAnsiTheme="minorHAnsi"/>
        </w:rPr>
        <w:t xml:space="preserve">state and federal </w:t>
      </w:r>
      <w:r w:rsidR="0000662C" w:rsidRPr="00BA64B4">
        <w:rPr>
          <w:rFonts w:asciiTheme="minorHAnsi" w:hAnsiTheme="minorHAnsi"/>
        </w:rPr>
        <w:t>guidance</w:t>
      </w:r>
      <w:r w:rsidR="00A34B39" w:rsidRPr="00BA64B4">
        <w:rPr>
          <w:rFonts w:asciiTheme="minorHAnsi" w:hAnsiTheme="minorHAnsi"/>
        </w:rPr>
        <w:t>.</w:t>
      </w:r>
      <w:r w:rsidR="003A09AE" w:rsidRPr="00BA64B4">
        <w:rPr>
          <w:rFonts w:asciiTheme="minorHAnsi" w:hAnsiTheme="minorHAnsi"/>
        </w:rPr>
        <w:t xml:space="preserve"> </w:t>
      </w:r>
    </w:p>
    <w:p w14:paraId="7DF2EC5E" w14:textId="77777777" w:rsidR="007B4636" w:rsidRPr="00BA64B4" w:rsidRDefault="003A09AE" w:rsidP="007E6C90">
      <w:pPr>
        <w:pStyle w:val="ListParagraph"/>
        <w:numPr>
          <w:ilvl w:val="0"/>
          <w:numId w:val="9"/>
        </w:numPr>
        <w:rPr>
          <w:rFonts w:asciiTheme="minorHAnsi" w:hAnsiTheme="minorHAnsi"/>
        </w:rPr>
      </w:pPr>
      <w:r w:rsidRPr="00BA64B4">
        <w:rPr>
          <w:rFonts w:asciiTheme="minorHAnsi" w:hAnsiTheme="minorHAnsi"/>
        </w:rPr>
        <w:t xml:space="preserve">Demonstrate that the rates are </w:t>
      </w:r>
      <w:r w:rsidR="007B4636" w:rsidRPr="00BA64B4">
        <w:rPr>
          <w:rFonts w:asciiTheme="minorHAnsi" w:hAnsiTheme="minorHAnsi"/>
        </w:rPr>
        <w:t xml:space="preserve">commensurate to the benefits offered and </w:t>
      </w:r>
      <w:r w:rsidR="00C07654" w:rsidRPr="00BA64B4">
        <w:rPr>
          <w:rFonts w:asciiTheme="minorHAnsi" w:hAnsiTheme="minorHAnsi"/>
        </w:rPr>
        <w:t xml:space="preserve">further that the rates </w:t>
      </w:r>
      <w:r w:rsidR="007B4636" w:rsidRPr="00BA64B4">
        <w:rPr>
          <w:rFonts w:asciiTheme="minorHAnsi" w:hAnsiTheme="minorHAnsi"/>
        </w:rPr>
        <w:t>are not excessive, inadeq</w:t>
      </w:r>
      <w:r w:rsidR="00A34B39" w:rsidRPr="00BA64B4">
        <w:rPr>
          <w:rFonts w:asciiTheme="minorHAnsi" w:hAnsiTheme="minorHAnsi"/>
        </w:rPr>
        <w:t>uate or unfairly discriminatory</w:t>
      </w:r>
    </w:p>
    <w:p w14:paraId="6B62E00F" w14:textId="77777777" w:rsidR="00A34B39" w:rsidRPr="00BA64B4" w:rsidRDefault="00A34B39" w:rsidP="007E6C90">
      <w:pPr>
        <w:pStyle w:val="ListParagraph"/>
        <w:numPr>
          <w:ilvl w:val="0"/>
          <w:numId w:val="9"/>
        </w:numPr>
        <w:rPr>
          <w:rFonts w:asciiTheme="minorHAnsi" w:hAnsiTheme="minorHAnsi"/>
        </w:rPr>
      </w:pPr>
      <w:r w:rsidRPr="00BA64B4">
        <w:rPr>
          <w:rFonts w:asciiTheme="minorHAnsi" w:hAnsiTheme="minorHAnsi"/>
        </w:rPr>
        <w:t>Disclose all factor and benefit changes</w:t>
      </w:r>
      <w:r w:rsidR="00D24AD0" w:rsidRPr="00BA64B4">
        <w:rPr>
          <w:rFonts w:asciiTheme="minorHAnsi" w:hAnsiTheme="minorHAnsi"/>
        </w:rPr>
        <w:t xml:space="preserve"> from the </w:t>
      </w:r>
      <w:r w:rsidR="00536360">
        <w:rPr>
          <w:rFonts w:asciiTheme="minorHAnsi" w:hAnsiTheme="minorHAnsi"/>
        </w:rPr>
        <w:t>prior approved rate filing</w:t>
      </w:r>
      <w:r w:rsidR="00D24AD0" w:rsidRPr="00BA64B4">
        <w:rPr>
          <w:rFonts w:asciiTheme="minorHAnsi" w:hAnsiTheme="minorHAnsi"/>
        </w:rPr>
        <w:t>, as appropriate</w:t>
      </w:r>
      <w:r w:rsidR="000D4897" w:rsidRPr="00BA64B4">
        <w:rPr>
          <w:rFonts w:asciiTheme="minorHAnsi" w:hAnsiTheme="minorHAnsi"/>
        </w:rPr>
        <w:t>, and provide s</w:t>
      </w:r>
      <w:r w:rsidR="00F6077C" w:rsidRPr="00BA64B4">
        <w:rPr>
          <w:rFonts w:asciiTheme="minorHAnsi" w:hAnsiTheme="minorHAnsi"/>
        </w:rPr>
        <w:t>upporting documentation and</w:t>
      </w:r>
      <w:r w:rsidR="000D4897" w:rsidRPr="00BA64B4">
        <w:rPr>
          <w:rFonts w:asciiTheme="minorHAnsi" w:hAnsiTheme="minorHAnsi"/>
        </w:rPr>
        <w:t xml:space="preserve"> data</w:t>
      </w:r>
      <w:r w:rsidR="00F6077C" w:rsidRPr="00BA64B4">
        <w:rPr>
          <w:rFonts w:asciiTheme="minorHAnsi" w:hAnsiTheme="minorHAnsi"/>
        </w:rPr>
        <w:t>.</w:t>
      </w:r>
    </w:p>
    <w:p w14:paraId="4B3AA0DA" w14:textId="77777777" w:rsidR="007B4636" w:rsidRPr="00BA64B4" w:rsidRDefault="007B4636" w:rsidP="00B47CAC">
      <w:pPr>
        <w:rPr>
          <w:rFonts w:asciiTheme="minorHAnsi" w:hAnsiTheme="minorHAnsi"/>
        </w:rPr>
      </w:pPr>
    </w:p>
    <w:p w14:paraId="23399959" w14:textId="77777777" w:rsidR="00DE54E5" w:rsidRDefault="00AB00F6" w:rsidP="00B47CAC">
      <w:pPr>
        <w:rPr>
          <w:rFonts w:asciiTheme="minorHAnsi" w:hAnsiTheme="minorHAnsi"/>
        </w:rPr>
      </w:pPr>
      <w:r w:rsidRPr="00BA64B4">
        <w:rPr>
          <w:rFonts w:asciiTheme="minorHAnsi" w:hAnsiTheme="minorHAnsi"/>
        </w:rPr>
        <w:t xml:space="preserve">The </w:t>
      </w:r>
      <w:r w:rsidR="0048519E" w:rsidRPr="00BA64B4">
        <w:rPr>
          <w:rFonts w:asciiTheme="minorHAnsi" w:hAnsiTheme="minorHAnsi"/>
        </w:rPr>
        <w:t xml:space="preserve">guidance </w:t>
      </w:r>
      <w:r w:rsidR="00CD39DF" w:rsidRPr="00BA64B4">
        <w:rPr>
          <w:rFonts w:asciiTheme="minorHAnsi" w:hAnsiTheme="minorHAnsi"/>
        </w:rPr>
        <w:t xml:space="preserve">that follows describes </w:t>
      </w:r>
      <w:r w:rsidRPr="00BA64B4">
        <w:rPr>
          <w:rFonts w:asciiTheme="minorHAnsi" w:hAnsiTheme="minorHAnsi"/>
        </w:rPr>
        <w:t xml:space="preserve">minimum requirements.  </w:t>
      </w:r>
      <w:r w:rsidR="0000662C" w:rsidRPr="00BA64B4">
        <w:rPr>
          <w:rFonts w:asciiTheme="minorHAnsi" w:hAnsiTheme="minorHAnsi"/>
        </w:rPr>
        <w:t>I</w:t>
      </w:r>
      <w:r w:rsidRPr="00BA64B4">
        <w:rPr>
          <w:rFonts w:asciiTheme="minorHAnsi" w:hAnsiTheme="minorHAnsi"/>
        </w:rPr>
        <w:t>ssuers are encouraged to provide as much detail</w:t>
      </w:r>
      <w:r w:rsidR="00A34B39" w:rsidRPr="00BA64B4">
        <w:rPr>
          <w:rFonts w:asciiTheme="minorHAnsi" w:hAnsiTheme="minorHAnsi"/>
        </w:rPr>
        <w:t>,</w:t>
      </w:r>
      <w:r w:rsidRPr="00BA64B4">
        <w:rPr>
          <w:rFonts w:asciiTheme="minorHAnsi" w:hAnsiTheme="minorHAnsi"/>
        </w:rPr>
        <w:t xml:space="preserve"> supporting documentation and data as possible to support the proposed rate</w:t>
      </w:r>
      <w:r w:rsidR="00922998" w:rsidRPr="00BA64B4">
        <w:rPr>
          <w:rFonts w:asciiTheme="minorHAnsi" w:hAnsiTheme="minorHAnsi"/>
        </w:rPr>
        <w:t>s</w:t>
      </w:r>
      <w:r w:rsidRPr="00BA64B4">
        <w:rPr>
          <w:rFonts w:asciiTheme="minorHAnsi" w:hAnsiTheme="minorHAnsi"/>
        </w:rPr>
        <w:t xml:space="preserve">.   </w:t>
      </w:r>
    </w:p>
    <w:p w14:paraId="73BCB01D" w14:textId="77777777" w:rsidR="00DE54E5" w:rsidRDefault="00DE54E5" w:rsidP="00B47CAC">
      <w:pPr>
        <w:rPr>
          <w:rFonts w:asciiTheme="minorHAnsi" w:hAnsiTheme="minorHAnsi"/>
        </w:rPr>
      </w:pPr>
    </w:p>
    <w:p w14:paraId="28BD3F00" w14:textId="2BC4D78A" w:rsidR="00FB3DCF" w:rsidRPr="00BA64B4" w:rsidRDefault="00A650CE" w:rsidP="00B47CAC">
      <w:pPr>
        <w:rPr>
          <w:rFonts w:asciiTheme="minorHAnsi" w:hAnsiTheme="minorHAnsi"/>
        </w:rPr>
      </w:pPr>
      <w:r>
        <w:rPr>
          <w:rFonts w:asciiTheme="minorHAnsi" w:hAnsiTheme="minorHAnsi"/>
        </w:rPr>
        <w:t xml:space="preserve">Additionally we have attached, as Attachment </w:t>
      </w:r>
      <w:r w:rsidR="00A805CD">
        <w:rPr>
          <w:rFonts w:asciiTheme="minorHAnsi" w:hAnsiTheme="minorHAnsi"/>
        </w:rPr>
        <w:t>2</w:t>
      </w:r>
      <w:r>
        <w:rPr>
          <w:rFonts w:asciiTheme="minorHAnsi" w:hAnsiTheme="minorHAnsi"/>
        </w:rPr>
        <w:t xml:space="preserve">, questions the Department asked issuers during the 2017 rate review cycle.  Please </w:t>
      </w:r>
      <w:r w:rsidR="00A805CD">
        <w:rPr>
          <w:rFonts w:asciiTheme="minorHAnsi" w:hAnsiTheme="minorHAnsi"/>
        </w:rPr>
        <w:t>consider these questions as you prepare</w:t>
      </w:r>
      <w:r>
        <w:rPr>
          <w:rFonts w:asciiTheme="minorHAnsi" w:hAnsiTheme="minorHAnsi"/>
        </w:rPr>
        <w:t xml:space="preserve"> your Pennsylvania Actuarial Memorandum.</w:t>
      </w:r>
    </w:p>
    <w:p w14:paraId="7F269D37" w14:textId="77777777" w:rsidR="00CD39DF" w:rsidRPr="00BA64B4" w:rsidRDefault="00CD39DF" w:rsidP="00B47CAC">
      <w:pPr>
        <w:rPr>
          <w:rFonts w:asciiTheme="minorHAnsi" w:hAnsiTheme="minorHAnsi"/>
        </w:rPr>
      </w:pPr>
    </w:p>
    <w:p w14:paraId="076A4C5B" w14:textId="77777777" w:rsidR="00541891" w:rsidRDefault="00CD39DF" w:rsidP="00B47CAC">
      <w:pPr>
        <w:rPr>
          <w:rFonts w:asciiTheme="minorHAnsi" w:hAnsiTheme="minorHAnsi"/>
        </w:rPr>
      </w:pPr>
      <w:r w:rsidRPr="00BA64B4">
        <w:rPr>
          <w:rFonts w:asciiTheme="minorHAnsi" w:hAnsiTheme="minorHAnsi"/>
        </w:rPr>
        <w:t xml:space="preserve">Templates for the tables described throughout the guidance that follows are provided in </w:t>
      </w:r>
      <w:r w:rsidR="000D4897" w:rsidRPr="00BA64B4">
        <w:rPr>
          <w:rFonts w:asciiTheme="minorHAnsi" w:hAnsiTheme="minorHAnsi"/>
        </w:rPr>
        <w:t>the</w:t>
      </w:r>
      <w:r w:rsidRPr="00BA64B4">
        <w:rPr>
          <w:rFonts w:asciiTheme="minorHAnsi" w:hAnsiTheme="minorHAnsi"/>
        </w:rPr>
        <w:t xml:space="preserve"> Excel workbook</w:t>
      </w:r>
      <w:r w:rsidR="000D4897" w:rsidRPr="00BA64B4">
        <w:rPr>
          <w:rFonts w:asciiTheme="minorHAnsi" w:hAnsiTheme="minorHAnsi"/>
        </w:rPr>
        <w:t xml:space="preserve"> titled </w:t>
      </w:r>
      <w:r w:rsidR="00E714BE" w:rsidRPr="00BA64B4">
        <w:rPr>
          <w:rFonts w:asciiTheme="minorHAnsi" w:hAnsiTheme="minorHAnsi"/>
        </w:rPr>
        <w:t>PA Actuarial Memorandum Rate Exhibits</w:t>
      </w:r>
      <w:r w:rsidRPr="00BA64B4">
        <w:rPr>
          <w:rFonts w:asciiTheme="minorHAnsi" w:hAnsiTheme="minorHAnsi"/>
        </w:rPr>
        <w:t xml:space="preserve">. The </w:t>
      </w:r>
      <w:r w:rsidR="00E714BE" w:rsidRPr="00BA64B4">
        <w:rPr>
          <w:rFonts w:asciiTheme="minorHAnsi" w:hAnsiTheme="minorHAnsi"/>
        </w:rPr>
        <w:t>E</w:t>
      </w:r>
      <w:r w:rsidRPr="00BA64B4">
        <w:rPr>
          <w:rFonts w:asciiTheme="minorHAnsi" w:hAnsiTheme="minorHAnsi"/>
        </w:rPr>
        <w:t>xcel workbook should be completed in conjunction with the PA Actuarial Memorandum. Cells in the workbook shaded yellow require that the filer enter information. Cells shaded blue contain formulas that calculate the required information.</w:t>
      </w:r>
      <w:r w:rsidR="001A2302">
        <w:rPr>
          <w:rFonts w:asciiTheme="minorHAnsi" w:hAnsiTheme="minorHAnsi"/>
        </w:rPr>
        <w:t xml:space="preserve">  </w:t>
      </w:r>
    </w:p>
    <w:p w14:paraId="13FFFED3" w14:textId="77777777" w:rsidR="00541891" w:rsidRDefault="00541891" w:rsidP="00B47CAC">
      <w:pPr>
        <w:rPr>
          <w:rFonts w:asciiTheme="minorHAnsi" w:hAnsiTheme="minorHAnsi"/>
        </w:rPr>
      </w:pPr>
    </w:p>
    <w:p w14:paraId="5EDFAE3B" w14:textId="77777777" w:rsidR="0015144D" w:rsidRPr="0015144D" w:rsidRDefault="0015144D" w:rsidP="00B47CAC">
      <w:pPr>
        <w:rPr>
          <w:rFonts w:asciiTheme="minorHAnsi" w:hAnsiTheme="minorHAnsi"/>
          <w:u w:val="single"/>
        </w:rPr>
      </w:pPr>
      <w:r w:rsidRPr="0015144D">
        <w:rPr>
          <w:rFonts w:asciiTheme="minorHAnsi" w:hAnsiTheme="minorHAnsi"/>
          <w:u w:val="single"/>
        </w:rPr>
        <w:t>Individual vs. Small Group</w:t>
      </w:r>
      <w:r>
        <w:rPr>
          <w:rFonts w:asciiTheme="minorHAnsi" w:hAnsiTheme="minorHAnsi"/>
          <w:u w:val="single"/>
        </w:rPr>
        <w:t xml:space="preserve"> Tabs in the PA Actuarial Memorandum Rate Exhibits</w:t>
      </w:r>
    </w:p>
    <w:p w14:paraId="462BF582" w14:textId="48C9C3B2" w:rsidR="0015144D" w:rsidRDefault="00A650CE" w:rsidP="0015144D">
      <w:pPr>
        <w:rPr>
          <w:rFonts w:asciiTheme="minorHAnsi" w:hAnsiTheme="minorHAnsi"/>
        </w:rPr>
      </w:pPr>
      <w:r w:rsidRPr="00541891">
        <w:rPr>
          <w:rFonts w:asciiTheme="minorHAnsi" w:hAnsiTheme="minorHAnsi"/>
        </w:rPr>
        <w:t>Consistent with the 2017 Guidance</w:t>
      </w:r>
      <w:r w:rsidR="00541891" w:rsidRPr="00541891">
        <w:rPr>
          <w:rFonts w:asciiTheme="minorHAnsi" w:hAnsiTheme="minorHAnsi"/>
        </w:rPr>
        <w:t>,</w:t>
      </w:r>
      <w:r w:rsidRPr="00541891">
        <w:rPr>
          <w:rFonts w:asciiTheme="minorHAnsi" w:hAnsiTheme="minorHAnsi"/>
        </w:rPr>
        <w:t xml:space="preserve"> </w:t>
      </w:r>
      <w:r w:rsidR="0015144D">
        <w:rPr>
          <w:rFonts w:asciiTheme="minorHAnsi" w:hAnsiTheme="minorHAnsi"/>
        </w:rPr>
        <w:t xml:space="preserve">the Department has one Excel workbook that contains the Actuarial Memorandum Exhibits for both the Individual and Small Group Market. New this year, tab IV/table 11, which develops premiums by rating area, has been broken into </w:t>
      </w:r>
      <w:r w:rsidR="00990E9C">
        <w:rPr>
          <w:rFonts w:asciiTheme="minorHAnsi" w:hAnsiTheme="minorHAnsi"/>
        </w:rPr>
        <w:t>two</w:t>
      </w:r>
      <w:r w:rsidR="0015144D">
        <w:rPr>
          <w:rFonts w:asciiTheme="minorHAnsi" w:hAnsiTheme="minorHAnsi"/>
        </w:rPr>
        <w:t xml:space="preserve"> tabs, tab IV</w:t>
      </w:r>
      <w:r w:rsidR="00F30516">
        <w:rPr>
          <w:rFonts w:asciiTheme="minorHAnsi" w:hAnsiTheme="minorHAnsi"/>
        </w:rPr>
        <w:t xml:space="preserve">-A </w:t>
      </w:r>
      <w:r w:rsidR="00990E9C">
        <w:rPr>
          <w:rFonts w:asciiTheme="minorHAnsi" w:hAnsiTheme="minorHAnsi"/>
        </w:rPr>
        <w:t>for individual market filings and</w:t>
      </w:r>
      <w:r w:rsidR="0015144D">
        <w:rPr>
          <w:rFonts w:asciiTheme="minorHAnsi" w:hAnsiTheme="minorHAnsi"/>
        </w:rPr>
        <w:t xml:space="preserve"> tab IV</w:t>
      </w:r>
      <w:r w:rsidR="00F30516">
        <w:rPr>
          <w:rFonts w:asciiTheme="minorHAnsi" w:hAnsiTheme="minorHAnsi"/>
        </w:rPr>
        <w:t>-B</w:t>
      </w:r>
      <w:r w:rsidR="0015144D">
        <w:rPr>
          <w:rFonts w:asciiTheme="minorHAnsi" w:hAnsiTheme="minorHAnsi"/>
        </w:rPr>
        <w:t xml:space="preserve"> for small group market annual filings. </w:t>
      </w:r>
    </w:p>
    <w:p w14:paraId="1F766188" w14:textId="77777777" w:rsidR="0015144D" w:rsidRDefault="0015144D" w:rsidP="0015144D">
      <w:pPr>
        <w:rPr>
          <w:rFonts w:asciiTheme="minorHAnsi" w:hAnsiTheme="minorHAnsi"/>
        </w:rPr>
      </w:pPr>
    </w:p>
    <w:p w14:paraId="1B886810" w14:textId="77777777" w:rsidR="00CD39DF" w:rsidRPr="00BA64B4" w:rsidRDefault="0015144D" w:rsidP="00990E9C">
      <w:pPr>
        <w:rPr>
          <w:rFonts w:asciiTheme="minorHAnsi" w:hAnsiTheme="minorHAnsi"/>
        </w:rPr>
      </w:pPr>
      <w:r>
        <w:rPr>
          <w:rFonts w:asciiTheme="minorHAnsi" w:hAnsiTheme="minorHAnsi"/>
        </w:rPr>
        <w:t xml:space="preserve">The filer must delete the tab IV versions that are not relevant to the filing. That is, for individual market filings, please delete the blue tab labeled </w:t>
      </w:r>
      <w:r w:rsidRPr="0002505D">
        <w:rPr>
          <w:rFonts w:asciiTheme="minorHAnsi" w:hAnsiTheme="minorHAnsi"/>
          <w:i/>
        </w:rPr>
        <w:t>IV B Plan Premium SG Annual</w:t>
      </w:r>
      <w:r w:rsidR="00990E9C">
        <w:rPr>
          <w:rFonts w:asciiTheme="minorHAnsi" w:hAnsiTheme="minorHAnsi"/>
        </w:rPr>
        <w:t>; f</w:t>
      </w:r>
      <w:r>
        <w:rPr>
          <w:rFonts w:asciiTheme="minorHAnsi" w:hAnsiTheme="minorHAnsi"/>
        </w:rPr>
        <w:t xml:space="preserve">or small group market annual filings, please delete the tab labeled </w:t>
      </w:r>
      <w:r w:rsidRPr="0002505D">
        <w:rPr>
          <w:rFonts w:asciiTheme="minorHAnsi" w:hAnsiTheme="minorHAnsi"/>
          <w:i/>
        </w:rPr>
        <w:t>IV A Plan Premium Individual</w:t>
      </w:r>
      <w:r>
        <w:rPr>
          <w:rFonts w:asciiTheme="minorHAnsi" w:hAnsiTheme="minorHAnsi"/>
        </w:rPr>
        <w:t>.</w:t>
      </w:r>
    </w:p>
    <w:p w14:paraId="5B0CF67E" w14:textId="77777777" w:rsidR="00536888" w:rsidRPr="00064A7B" w:rsidRDefault="00536888" w:rsidP="00064A7B">
      <w:pPr>
        <w:pStyle w:val="Heading1"/>
        <w:numPr>
          <w:ilvl w:val="0"/>
          <w:numId w:val="38"/>
        </w:numPr>
        <w:rPr>
          <w:rFonts w:asciiTheme="minorHAnsi" w:hAnsiTheme="minorHAnsi"/>
        </w:rPr>
      </w:pPr>
      <w:bookmarkStart w:id="124" w:name="_Toc440553959"/>
      <w:bookmarkStart w:id="125" w:name="_Toc440555401"/>
      <w:bookmarkStart w:id="126" w:name="_Toc440555578"/>
      <w:bookmarkStart w:id="127" w:name="_Toc440555642"/>
      <w:bookmarkStart w:id="128" w:name="_Toc474316425"/>
      <w:r w:rsidRPr="00064A7B">
        <w:rPr>
          <w:rFonts w:asciiTheme="minorHAnsi" w:hAnsiTheme="minorHAnsi"/>
        </w:rPr>
        <w:t>Basic Information</w:t>
      </w:r>
      <w:bookmarkEnd w:id="124"/>
      <w:bookmarkEnd w:id="125"/>
      <w:bookmarkEnd w:id="126"/>
      <w:bookmarkEnd w:id="127"/>
      <w:r w:rsidR="00475DC1" w:rsidRPr="00064A7B">
        <w:rPr>
          <w:rFonts w:asciiTheme="minorHAnsi" w:hAnsiTheme="minorHAnsi"/>
        </w:rPr>
        <w:t xml:space="preserve"> and Data</w:t>
      </w:r>
      <w:bookmarkEnd w:id="128"/>
    </w:p>
    <w:p w14:paraId="1B5920F5" w14:textId="77777777" w:rsidR="00756BDA" w:rsidRPr="00BA64B4" w:rsidRDefault="00756BDA" w:rsidP="007E6C90">
      <w:pPr>
        <w:pStyle w:val="Heading2"/>
        <w:numPr>
          <w:ilvl w:val="0"/>
          <w:numId w:val="4"/>
        </w:numPr>
        <w:rPr>
          <w:rFonts w:asciiTheme="minorHAnsi" w:hAnsiTheme="minorHAnsi"/>
        </w:rPr>
      </w:pPr>
      <w:bookmarkStart w:id="129" w:name="_Toc440553960"/>
      <w:bookmarkStart w:id="130" w:name="_Toc440555402"/>
      <w:bookmarkStart w:id="131" w:name="_Toc440555579"/>
      <w:bookmarkStart w:id="132" w:name="_Toc440555643"/>
      <w:bookmarkStart w:id="133" w:name="_Toc474316426"/>
      <w:r w:rsidRPr="00BA64B4">
        <w:rPr>
          <w:rFonts w:asciiTheme="minorHAnsi" w:hAnsiTheme="minorHAnsi"/>
        </w:rPr>
        <w:t>Company Information</w:t>
      </w:r>
      <w:bookmarkEnd w:id="129"/>
      <w:bookmarkEnd w:id="130"/>
      <w:bookmarkEnd w:id="131"/>
      <w:bookmarkEnd w:id="132"/>
      <w:r w:rsidRPr="00BA64B4">
        <w:rPr>
          <w:rFonts w:asciiTheme="minorHAnsi" w:hAnsiTheme="minorHAnsi"/>
        </w:rPr>
        <w:t xml:space="preserve"> </w:t>
      </w:r>
      <w:r w:rsidR="00DF34DE" w:rsidRPr="00DF34DE">
        <w:rPr>
          <w:rFonts w:asciiTheme="minorHAnsi" w:hAnsiTheme="minorHAnsi"/>
        </w:rPr>
        <w:t>(Table 0)</w:t>
      </w:r>
      <w:bookmarkEnd w:id="133"/>
    </w:p>
    <w:p w14:paraId="45522108" w14:textId="77777777" w:rsidR="00966B7B" w:rsidRPr="00E330D8" w:rsidRDefault="00E330D8" w:rsidP="00966B7B">
      <w:pPr>
        <w:spacing w:after="308"/>
        <w:ind w:left="-5"/>
        <w:rPr>
          <w:rFonts w:asciiTheme="minorHAnsi" w:hAnsiTheme="minorHAnsi"/>
        </w:rPr>
      </w:pPr>
      <w:r>
        <w:rPr>
          <w:rFonts w:asciiTheme="minorHAnsi" w:hAnsiTheme="minorHAnsi"/>
        </w:rPr>
        <w:t>Complete t</w:t>
      </w:r>
      <w:r w:rsidR="00966B7B" w:rsidRPr="00E330D8">
        <w:rPr>
          <w:rFonts w:asciiTheme="minorHAnsi" w:hAnsiTheme="minorHAnsi"/>
        </w:rPr>
        <w:t xml:space="preserve">able 0 </w:t>
      </w:r>
      <w:r w:rsidRPr="00E330D8">
        <w:rPr>
          <w:rFonts w:asciiTheme="minorHAnsi" w:hAnsiTheme="minorHAnsi"/>
        </w:rPr>
        <w:t>i</w:t>
      </w:r>
      <w:r w:rsidR="00966B7B" w:rsidRPr="00E330D8">
        <w:rPr>
          <w:rFonts w:asciiTheme="minorHAnsi" w:hAnsiTheme="minorHAnsi"/>
        </w:rPr>
        <w:t xml:space="preserve">n tab I Data. </w:t>
      </w:r>
      <w:r>
        <w:rPr>
          <w:rFonts w:asciiTheme="minorHAnsi" w:hAnsiTheme="minorHAnsi"/>
        </w:rPr>
        <w:t>C</w:t>
      </w:r>
      <w:r w:rsidR="00F3204E" w:rsidRPr="00E330D8">
        <w:rPr>
          <w:rFonts w:asciiTheme="minorHAnsi" w:hAnsiTheme="minorHAnsi"/>
        </w:rPr>
        <w:t>ells D6 and D7 require entry</w:t>
      </w:r>
      <w:r>
        <w:rPr>
          <w:rFonts w:asciiTheme="minorHAnsi" w:hAnsiTheme="minorHAnsi"/>
        </w:rPr>
        <w:t xml:space="preserve"> of issuer name and product type. Select the input from c</w:t>
      </w:r>
      <w:r w:rsidR="00F3204E" w:rsidRPr="00E330D8">
        <w:rPr>
          <w:rFonts w:asciiTheme="minorHAnsi" w:hAnsiTheme="minorHAnsi"/>
        </w:rPr>
        <w:t xml:space="preserve">ells D8 and D9 from the drop down menu.  </w:t>
      </w:r>
      <w:r w:rsidR="00966B7B" w:rsidRPr="00E330D8">
        <w:rPr>
          <w:rFonts w:asciiTheme="minorHAnsi" w:hAnsiTheme="minorHAnsi"/>
        </w:rPr>
        <w:t>Note</w:t>
      </w:r>
      <w:r>
        <w:rPr>
          <w:rFonts w:asciiTheme="minorHAnsi" w:hAnsiTheme="minorHAnsi"/>
        </w:rPr>
        <w:t xml:space="preserve"> that individual rate filings and small group market annual rate filings must have a </w:t>
      </w:r>
      <w:r w:rsidR="00F3204E" w:rsidRPr="00E330D8">
        <w:rPr>
          <w:rFonts w:asciiTheme="minorHAnsi" w:hAnsiTheme="minorHAnsi"/>
        </w:rPr>
        <w:t xml:space="preserve">rate effective date </w:t>
      </w:r>
      <w:r>
        <w:rPr>
          <w:rFonts w:asciiTheme="minorHAnsi" w:hAnsiTheme="minorHAnsi"/>
        </w:rPr>
        <w:t>of</w:t>
      </w:r>
      <w:r w:rsidR="00F3204E" w:rsidRPr="00E330D8">
        <w:rPr>
          <w:rFonts w:asciiTheme="minorHAnsi" w:hAnsiTheme="minorHAnsi"/>
        </w:rPr>
        <w:t xml:space="preserve"> January 1, 2018. </w:t>
      </w:r>
      <w:r w:rsidR="00966B7B" w:rsidRPr="00E330D8">
        <w:rPr>
          <w:rFonts w:asciiTheme="minorHAnsi" w:hAnsiTheme="minorHAnsi"/>
        </w:rPr>
        <w:t xml:space="preserve">Consistent with the federal URR Instructions, the first date of the experience period </w:t>
      </w:r>
      <w:r>
        <w:rPr>
          <w:rFonts w:asciiTheme="minorHAnsi" w:hAnsiTheme="minorHAnsi"/>
        </w:rPr>
        <w:t xml:space="preserve">in cell D10 is automatically calculated to be two years before the rate effective date, and the end date of the experience period </w:t>
      </w:r>
      <w:r w:rsidR="00100A41">
        <w:rPr>
          <w:rFonts w:asciiTheme="minorHAnsi" w:hAnsiTheme="minorHAnsi"/>
        </w:rPr>
        <w:t xml:space="preserve">calculated in cell F10 </w:t>
      </w:r>
      <w:r>
        <w:rPr>
          <w:rFonts w:asciiTheme="minorHAnsi" w:hAnsiTheme="minorHAnsi"/>
        </w:rPr>
        <w:t xml:space="preserve">is 364 days </w:t>
      </w:r>
      <w:r w:rsidR="00100A41">
        <w:rPr>
          <w:rFonts w:asciiTheme="minorHAnsi" w:hAnsiTheme="minorHAnsi"/>
        </w:rPr>
        <w:t>later</w:t>
      </w:r>
      <w:r>
        <w:rPr>
          <w:rFonts w:asciiTheme="minorHAnsi" w:hAnsiTheme="minorHAnsi"/>
        </w:rPr>
        <w:t xml:space="preserve">. </w:t>
      </w:r>
    </w:p>
    <w:p w14:paraId="7ACA1B6D" w14:textId="77777777" w:rsidR="00B773D4" w:rsidRPr="00BA64B4" w:rsidRDefault="00B773D4" w:rsidP="00536888">
      <w:pPr>
        <w:pStyle w:val="Heading2"/>
        <w:rPr>
          <w:rFonts w:asciiTheme="minorHAnsi" w:hAnsiTheme="minorHAnsi"/>
        </w:rPr>
      </w:pPr>
      <w:bookmarkStart w:id="134" w:name="_Toc440553961"/>
      <w:bookmarkStart w:id="135" w:name="_Toc440555403"/>
      <w:bookmarkStart w:id="136" w:name="_Toc440555580"/>
      <w:bookmarkStart w:id="137" w:name="_Toc440555644"/>
      <w:bookmarkStart w:id="138" w:name="_Toc474316427"/>
      <w:r w:rsidRPr="00BA64B4">
        <w:rPr>
          <w:rFonts w:asciiTheme="minorHAnsi" w:hAnsiTheme="minorHAnsi"/>
        </w:rPr>
        <w:t>Rate History</w:t>
      </w:r>
      <w:r w:rsidR="003C5DEF" w:rsidRPr="00BA64B4">
        <w:rPr>
          <w:rFonts w:asciiTheme="minorHAnsi" w:hAnsiTheme="minorHAnsi"/>
        </w:rPr>
        <w:t xml:space="preserve"> and Proposed Variations in Rate Changes</w:t>
      </w:r>
      <w:bookmarkEnd w:id="134"/>
      <w:bookmarkEnd w:id="135"/>
      <w:bookmarkEnd w:id="136"/>
      <w:bookmarkEnd w:id="137"/>
      <w:bookmarkEnd w:id="138"/>
      <w:r w:rsidR="00057111">
        <w:rPr>
          <w:rFonts w:asciiTheme="minorHAnsi" w:hAnsiTheme="minorHAnsi"/>
        </w:rPr>
        <w:t xml:space="preserve"> </w:t>
      </w:r>
    </w:p>
    <w:p w14:paraId="368B178A" w14:textId="77777777" w:rsidR="00B773D4" w:rsidRPr="00BA64B4" w:rsidRDefault="005552C9" w:rsidP="00B47CAC">
      <w:pPr>
        <w:rPr>
          <w:rFonts w:asciiTheme="minorHAnsi" w:hAnsiTheme="minorHAnsi"/>
        </w:rPr>
      </w:pPr>
      <w:r w:rsidRPr="00BA64B4">
        <w:rPr>
          <w:rFonts w:asciiTheme="minorHAnsi" w:hAnsiTheme="minorHAnsi"/>
        </w:rPr>
        <w:t>Document t</w:t>
      </w:r>
      <w:r w:rsidR="00B773D4" w:rsidRPr="00BA64B4">
        <w:rPr>
          <w:rFonts w:asciiTheme="minorHAnsi" w:hAnsiTheme="minorHAnsi"/>
        </w:rPr>
        <w:t xml:space="preserve">he </w:t>
      </w:r>
      <w:r w:rsidRPr="00BA64B4">
        <w:rPr>
          <w:rFonts w:asciiTheme="minorHAnsi" w:hAnsiTheme="minorHAnsi"/>
        </w:rPr>
        <w:t xml:space="preserve">most recent 3 years of </w:t>
      </w:r>
      <w:r w:rsidR="00B773D4" w:rsidRPr="00BA64B4">
        <w:rPr>
          <w:rFonts w:asciiTheme="minorHAnsi" w:hAnsiTheme="minorHAnsi"/>
        </w:rPr>
        <w:t>histor</w:t>
      </w:r>
      <w:r w:rsidRPr="00BA64B4">
        <w:rPr>
          <w:rFonts w:asciiTheme="minorHAnsi" w:hAnsiTheme="minorHAnsi"/>
        </w:rPr>
        <w:t>ical</w:t>
      </w:r>
      <w:r w:rsidR="00B773D4" w:rsidRPr="00BA64B4">
        <w:rPr>
          <w:rFonts w:asciiTheme="minorHAnsi" w:hAnsiTheme="minorHAnsi"/>
        </w:rPr>
        <w:t xml:space="preserve"> rate </w:t>
      </w:r>
      <w:r w:rsidR="005C10AD" w:rsidRPr="00BA64B4">
        <w:rPr>
          <w:rFonts w:asciiTheme="minorHAnsi" w:hAnsiTheme="minorHAnsi"/>
        </w:rPr>
        <w:t>change</w:t>
      </w:r>
      <w:r w:rsidRPr="00BA64B4">
        <w:rPr>
          <w:rFonts w:asciiTheme="minorHAnsi" w:hAnsiTheme="minorHAnsi"/>
        </w:rPr>
        <w:t>s</w:t>
      </w:r>
      <w:r w:rsidR="00922998" w:rsidRPr="00BA64B4">
        <w:rPr>
          <w:rFonts w:asciiTheme="minorHAnsi" w:hAnsiTheme="minorHAnsi"/>
        </w:rPr>
        <w:t xml:space="preserve"> in Pennsylvania</w:t>
      </w:r>
      <w:r w:rsidR="00F6077C" w:rsidRPr="00BA64B4">
        <w:rPr>
          <w:rFonts w:asciiTheme="minorHAnsi" w:hAnsiTheme="minorHAnsi"/>
        </w:rPr>
        <w:t>, including</w:t>
      </w:r>
      <w:r w:rsidR="00D24AD0" w:rsidRPr="00BA64B4">
        <w:rPr>
          <w:rFonts w:asciiTheme="minorHAnsi" w:hAnsiTheme="minorHAnsi"/>
        </w:rPr>
        <w:t xml:space="preserve"> any</w:t>
      </w:r>
      <w:r w:rsidR="00F6077C" w:rsidRPr="00BA64B4">
        <w:rPr>
          <w:rFonts w:asciiTheme="minorHAnsi" w:hAnsiTheme="minorHAnsi"/>
        </w:rPr>
        <w:t xml:space="preserve"> quarterly trend update submissions</w:t>
      </w:r>
      <w:r w:rsidR="00D24AD0" w:rsidRPr="00BA64B4">
        <w:rPr>
          <w:rFonts w:asciiTheme="minorHAnsi" w:hAnsiTheme="minorHAnsi"/>
        </w:rPr>
        <w:t xml:space="preserve"> for small group filings</w:t>
      </w:r>
      <w:r w:rsidR="00B773D4" w:rsidRPr="00BA64B4">
        <w:rPr>
          <w:rFonts w:asciiTheme="minorHAnsi" w:hAnsiTheme="minorHAnsi"/>
        </w:rPr>
        <w:t xml:space="preserve">.  The history should include the amount of the rate change and the </w:t>
      </w:r>
      <w:r w:rsidR="00B773D4" w:rsidRPr="00BA64B4">
        <w:rPr>
          <w:rFonts w:asciiTheme="minorHAnsi" w:hAnsiTheme="minorHAnsi"/>
          <w:bCs/>
        </w:rPr>
        <w:t xml:space="preserve">SERFF ID# for the filing.  </w:t>
      </w:r>
      <w:r w:rsidR="003C5DEF" w:rsidRPr="00BA64B4">
        <w:rPr>
          <w:rFonts w:asciiTheme="minorHAnsi" w:hAnsiTheme="minorHAnsi"/>
        </w:rPr>
        <w:t>N</w:t>
      </w:r>
      <w:r w:rsidR="00625460" w:rsidRPr="00BA64B4">
        <w:rPr>
          <w:rFonts w:asciiTheme="minorHAnsi" w:hAnsiTheme="minorHAnsi"/>
        </w:rPr>
        <w:t xml:space="preserve">ote </w:t>
      </w:r>
      <w:r w:rsidR="005C10AD" w:rsidRPr="00BA64B4">
        <w:rPr>
          <w:rFonts w:asciiTheme="minorHAnsi" w:hAnsiTheme="minorHAnsi"/>
        </w:rPr>
        <w:t xml:space="preserve">and discuss </w:t>
      </w:r>
      <w:r w:rsidR="00625460" w:rsidRPr="00BA64B4">
        <w:rPr>
          <w:rFonts w:asciiTheme="minorHAnsi" w:hAnsiTheme="minorHAnsi"/>
        </w:rPr>
        <w:t xml:space="preserve">if </w:t>
      </w:r>
      <w:r w:rsidR="00B773D4" w:rsidRPr="00BA64B4">
        <w:rPr>
          <w:rFonts w:asciiTheme="minorHAnsi" w:hAnsiTheme="minorHAnsi"/>
        </w:rPr>
        <w:t xml:space="preserve">the </w:t>
      </w:r>
      <w:r w:rsidR="00D24AD0" w:rsidRPr="00BA64B4">
        <w:rPr>
          <w:rFonts w:asciiTheme="minorHAnsi" w:hAnsiTheme="minorHAnsi"/>
        </w:rPr>
        <w:t xml:space="preserve">3 </w:t>
      </w:r>
      <w:r w:rsidR="007B4636" w:rsidRPr="00BA64B4">
        <w:rPr>
          <w:rFonts w:asciiTheme="minorHAnsi" w:hAnsiTheme="minorHAnsi"/>
          <w:bCs/>
        </w:rPr>
        <w:t xml:space="preserve">prior years’ rate </w:t>
      </w:r>
      <w:r w:rsidR="00B773D4" w:rsidRPr="00BA64B4">
        <w:rPr>
          <w:rFonts w:asciiTheme="minorHAnsi" w:hAnsiTheme="minorHAnsi"/>
        </w:rPr>
        <w:t xml:space="preserve">revisions were not applied uniformly across all rating </w:t>
      </w:r>
      <w:r w:rsidR="00625460" w:rsidRPr="00BA64B4">
        <w:rPr>
          <w:rFonts w:asciiTheme="minorHAnsi" w:hAnsiTheme="minorHAnsi"/>
        </w:rPr>
        <w:t>areas and plans.</w:t>
      </w:r>
      <w:r w:rsidR="00B773D4" w:rsidRPr="00BA64B4">
        <w:rPr>
          <w:rFonts w:asciiTheme="minorHAnsi" w:hAnsiTheme="minorHAnsi"/>
        </w:rPr>
        <w:t xml:space="preserve"> </w:t>
      </w:r>
      <w:r w:rsidR="006F3E5A" w:rsidRPr="00BA64B4">
        <w:rPr>
          <w:rFonts w:asciiTheme="minorHAnsi" w:hAnsiTheme="minorHAnsi"/>
        </w:rPr>
        <w:t xml:space="preserve"> </w:t>
      </w:r>
    </w:p>
    <w:p w14:paraId="1112D530" w14:textId="77777777" w:rsidR="003C5DEF" w:rsidRPr="00BA64B4" w:rsidRDefault="003C5DEF" w:rsidP="00B47CAC">
      <w:pPr>
        <w:rPr>
          <w:rFonts w:asciiTheme="minorHAnsi" w:hAnsiTheme="minorHAnsi"/>
        </w:rPr>
      </w:pPr>
    </w:p>
    <w:p w14:paraId="1A8953ED" w14:textId="77777777" w:rsidR="00A126D1" w:rsidRDefault="003C5DEF" w:rsidP="00B47CAC">
      <w:pPr>
        <w:rPr>
          <w:rFonts w:asciiTheme="minorHAnsi" w:hAnsiTheme="minorHAnsi"/>
          <w:b/>
          <w:bCs/>
        </w:rPr>
      </w:pPr>
      <w:r w:rsidRPr="00BA64B4">
        <w:rPr>
          <w:rFonts w:asciiTheme="minorHAnsi" w:hAnsiTheme="minorHAnsi"/>
        </w:rPr>
        <w:t xml:space="preserve">Clearly state whether </w:t>
      </w:r>
      <w:r w:rsidR="00A52A95" w:rsidRPr="00BA64B4">
        <w:rPr>
          <w:rFonts w:asciiTheme="minorHAnsi" w:hAnsiTheme="minorHAnsi"/>
        </w:rPr>
        <w:t xml:space="preserve">the </w:t>
      </w:r>
      <w:r w:rsidRPr="00BA64B4">
        <w:rPr>
          <w:rFonts w:asciiTheme="minorHAnsi" w:hAnsiTheme="minorHAnsi"/>
        </w:rPr>
        <w:t xml:space="preserve">proposed </w:t>
      </w:r>
      <w:r w:rsidR="00A52A95" w:rsidRPr="00BA64B4">
        <w:rPr>
          <w:rFonts w:asciiTheme="minorHAnsi" w:hAnsiTheme="minorHAnsi"/>
        </w:rPr>
        <w:t xml:space="preserve">rate revision applies uniformly or varies by plan or area.  If there are variations, </w:t>
      </w:r>
      <w:r w:rsidRPr="00BA64B4">
        <w:rPr>
          <w:rFonts w:asciiTheme="minorHAnsi" w:hAnsiTheme="minorHAnsi"/>
        </w:rPr>
        <w:t xml:space="preserve">provide </w:t>
      </w:r>
      <w:r w:rsidR="00A52A95" w:rsidRPr="00BA64B4">
        <w:rPr>
          <w:rFonts w:asciiTheme="minorHAnsi" w:hAnsiTheme="minorHAnsi"/>
        </w:rPr>
        <w:t>a</w:t>
      </w:r>
      <w:r w:rsidR="00CB6901" w:rsidRPr="00BA64B4">
        <w:rPr>
          <w:rFonts w:asciiTheme="minorHAnsi" w:hAnsiTheme="minorHAnsi"/>
        </w:rPr>
        <w:t>n</w:t>
      </w:r>
      <w:r w:rsidR="00A52A95" w:rsidRPr="00BA64B4">
        <w:rPr>
          <w:rFonts w:asciiTheme="minorHAnsi" w:hAnsiTheme="minorHAnsi"/>
        </w:rPr>
        <w:t xml:space="preserve"> </w:t>
      </w:r>
      <w:r w:rsidR="00CB6901" w:rsidRPr="00BA64B4">
        <w:rPr>
          <w:rFonts w:asciiTheme="minorHAnsi" w:hAnsiTheme="minorHAnsi"/>
        </w:rPr>
        <w:t>exhibit</w:t>
      </w:r>
      <w:r w:rsidR="00A52A95" w:rsidRPr="00BA64B4">
        <w:rPr>
          <w:rFonts w:asciiTheme="minorHAnsi" w:hAnsiTheme="minorHAnsi"/>
        </w:rPr>
        <w:t xml:space="preserve"> showing the variation</w:t>
      </w:r>
      <w:r w:rsidR="00D24AD0" w:rsidRPr="00BA64B4">
        <w:rPr>
          <w:rFonts w:asciiTheme="minorHAnsi" w:hAnsiTheme="minorHAnsi"/>
        </w:rPr>
        <w:t xml:space="preserve"> and explain the reason for the variation</w:t>
      </w:r>
      <w:r w:rsidR="00A52A95" w:rsidRPr="00BA64B4">
        <w:rPr>
          <w:rFonts w:asciiTheme="minorHAnsi" w:hAnsiTheme="minorHAnsi"/>
        </w:rPr>
        <w:t>.</w:t>
      </w:r>
      <w:r w:rsidR="00EE302B" w:rsidRPr="00BA64B4">
        <w:rPr>
          <w:rFonts w:asciiTheme="minorHAnsi" w:hAnsiTheme="minorHAnsi"/>
          <w:b/>
          <w:bCs/>
        </w:rPr>
        <w:tab/>
      </w:r>
    </w:p>
    <w:p w14:paraId="21657B7F" w14:textId="77777777" w:rsidR="004D5ACA" w:rsidRDefault="004D5ACA" w:rsidP="00475DC1">
      <w:pPr>
        <w:pStyle w:val="Heading2"/>
        <w:rPr>
          <w:rFonts w:asciiTheme="minorHAnsi" w:hAnsiTheme="minorHAnsi"/>
        </w:rPr>
      </w:pPr>
      <w:bookmarkStart w:id="139" w:name="_Toc474316428"/>
      <w:r w:rsidRPr="00475DC1">
        <w:rPr>
          <w:rFonts w:asciiTheme="minorHAnsi" w:hAnsiTheme="minorHAnsi"/>
        </w:rPr>
        <w:lastRenderedPageBreak/>
        <w:t>Average Rate Change</w:t>
      </w:r>
      <w:bookmarkEnd w:id="139"/>
      <w:r w:rsidR="00057111">
        <w:rPr>
          <w:rFonts w:asciiTheme="minorHAnsi" w:hAnsiTheme="minorHAnsi"/>
        </w:rPr>
        <w:t xml:space="preserve"> </w:t>
      </w:r>
    </w:p>
    <w:p w14:paraId="4D3F8D27" w14:textId="506DD904" w:rsidR="00475DC1" w:rsidRPr="00475DC1" w:rsidRDefault="00100A41" w:rsidP="00475DC1">
      <w:pPr>
        <w:rPr>
          <w:rFonts w:asciiTheme="minorHAnsi" w:hAnsiTheme="minorHAnsi"/>
        </w:rPr>
      </w:pPr>
      <w:r>
        <w:rPr>
          <w:rFonts w:asciiTheme="minorHAnsi" w:hAnsiTheme="minorHAnsi"/>
        </w:rPr>
        <w:t>List t</w:t>
      </w:r>
      <w:r w:rsidR="004D5ACA" w:rsidRPr="00475DC1">
        <w:rPr>
          <w:rFonts w:asciiTheme="minorHAnsi" w:hAnsiTheme="minorHAnsi"/>
        </w:rPr>
        <w:t xml:space="preserve">he </w:t>
      </w:r>
      <w:r w:rsidR="00475DC1" w:rsidRPr="00475DC1">
        <w:rPr>
          <w:rFonts w:asciiTheme="minorHAnsi" w:hAnsiTheme="minorHAnsi"/>
        </w:rPr>
        <w:t xml:space="preserve">average rate change </w:t>
      </w:r>
      <w:r>
        <w:rPr>
          <w:rFonts w:asciiTheme="minorHAnsi" w:hAnsiTheme="minorHAnsi"/>
        </w:rPr>
        <w:t>from</w:t>
      </w:r>
      <w:r w:rsidR="00A95772">
        <w:rPr>
          <w:rFonts w:asciiTheme="minorHAnsi" w:hAnsiTheme="minorHAnsi"/>
        </w:rPr>
        <w:t xml:space="preserve"> Table 10, column AC</w:t>
      </w:r>
      <w:r>
        <w:rPr>
          <w:rFonts w:asciiTheme="minorHAnsi" w:hAnsiTheme="minorHAnsi"/>
        </w:rPr>
        <w:t>.</w:t>
      </w:r>
      <w:r w:rsidR="00475DC1">
        <w:rPr>
          <w:rFonts w:asciiTheme="minorHAnsi" w:hAnsiTheme="minorHAnsi"/>
        </w:rPr>
        <w:t xml:space="preserve"> </w:t>
      </w:r>
      <w:r>
        <w:rPr>
          <w:rFonts w:asciiTheme="minorHAnsi" w:hAnsiTheme="minorHAnsi"/>
        </w:rPr>
        <w:t xml:space="preserve">For comparison purposes, also list </w:t>
      </w:r>
      <w:r w:rsidR="00475DC1">
        <w:rPr>
          <w:rFonts w:asciiTheme="minorHAnsi" w:hAnsiTheme="minorHAnsi"/>
        </w:rPr>
        <w:t xml:space="preserve">the change in 21-year-old non-tobacco premium </w:t>
      </w:r>
      <w:r w:rsidR="00CC3CAA">
        <w:rPr>
          <w:rFonts w:asciiTheme="minorHAnsi" w:hAnsiTheme="minorHAnsi"/>
        </w:rPr>
        <w:t xml:space="preserve">pmpm </w:t>
      </w:r>
      <w:r w:rsidR="00475DC1">
        <w:rPr>
          <w:rFonts w:asciiTheme="minorHAnsi" w:hAnsiTheme="minorHAnsi"/>
        </w:rPr>
        <w:t>calculated in table 11, cell</w:t>
      </w:r>
      <w:r w:rsidR="00290A58">
        <w:rPr>
          <w:rFonts w:asciiTheme="minorHAnsi" w:hAnsiTheme="minorHAnsi"/>
        </w:rPr>
        <w:t>AN13</w:t>
      </w:r>
      <w:r>
        <w:rPr>
          <w:rFonts w:asciiTheme="minorHAnsi" w:hAnsiTheme="minorHAnsi"/>
        </w:rPr>
        <w:t>;</w:t>
      </w:r>
      <w:r w:rsidR="00475DC1">
        <w:rPr>
          <w:rFonts w:asciiTheme="minorHAnsi" w:hAnsiTheme="minorHAnsi"/>
        </w:rPr>
        <w:t xml:space="preserve"> </w:t>
      </w:r>
      <w:r>
        <w:rPr>
          <w:rFonts w:asciiTheme="minorHAnsi" w:hAnsiTheme="minorHAnsi"/>
        </w:rPr>
        <w:t>and the two rate increase amounts calculated on the URRT worksheet 1 - the percent increase over Experience Period in cell V45, and the percent increase, annualized, in cell V46.</w:t>
      </w:r>
    </w:p>
    <w:p w14:paraId="1A16FF17" w14:textId="77777777" w:rsidR="00536888" w:rsidRPr="00BA64B4" w:rsidRDefault="00536888" w:rsidP="00500B1B">
      <w:pPr>
        <w:pStyle w:val="Heading2"/>
        <w:rPr>
          <w:rFonts w:asciiTheme="minorHAnsi" w:hAnsiTheme="minorHAnsi"/>
        </w:rPr>
      </w:pPr>
      <w:bookmarkStart w:id="140" w:name="_Toc439315484"/>
      <w:bookmarkStart w:id="141" w:name="_Toc439317449"/>
      <w:bookmarkStart w:id="142" w:name="_Toc439317550"/>
      <w:bookmarkStart w:id="143" w:name="_Toc439317651"/>
      <w:bookmarkStart w:id="144" w:name="_Toc440553963"/>
      <w:bookmarkStart w:id="145" w:name="_Toc440555405"/>
      <w:bookmarkStart w:id="146" w:name="_Toc440555582"/>
      <w:bookmarkStart w:id="147" w:name="_Toc440555646"/>
      <w:bookmarkStart w:id="148" w:name="_Toc474316429"/>
      <w:bookmarkEnd w:id="140"/>
      <w:bookmarkEnd w:id="141"/>
      <w:bookmarkEnd w:id="142"/>
      <w:bookmarkEnd w:id="143"/>
      <w:r w:rsidRPr="00BA64B4">
        <w:rPr>
          <w:rFonts w:asciiTheme="minorHAnsi" w:hAnsiTheme="minorHAnsi"/>
        </w:rPr>
        <w:t>Membership Count</w:t>
      </w:r>
      <w:bookmarkEnd w:id="144"/>
      <w:bookmarkEnd w:id="145"/>
      <w:bookmarkEnd w:id="146"/>
      <w:bookmarkEnd w:id="147"/>
      <w:r w:rsidR="00DF34DE">
        <w:rPr>
          <w:rFonts w:asciiTheme="minorHAnsi" w:hAnsiTheme="minorHAnsi"/>
        </w:rPr>
        <w:t xml:space="preserve"> </w:t>
      </w:r>
      <w:r w:rsidR="00DF34DE" w:rsidRPr="00DF34DE">
        <w:rPr>
          <w:rFonts w:asciiTheme="minorHAnsi" w:hAnsiTheme="minorHAnsi"/>
        </w:rPr>
        <w:t xml:space="preserve">(Table </w:t>
      </w:r>
      <w:r w:rsidR="00DF34DE">
        <w:rPr>
          <w:rFonts w:asciiTheme="minorHAnsi" w:hAnsiTheme="minorHAnsi"/>
        </w:rPr>
        <w:t>1</w:t>
      </w:r>
      <w:r w:rsidR="00DF34DE" w:rsidRPr="00DF34DE">
        <w:rPr>
          <w:rFonts w:asciiTheme="minorHAnsi" w:hAnsiTheme="minorHAnsi"/>
        </w:rPr>
        <w:t>)</w:t>
      </w:r>
      <w:bookmarkEnd w:id="148"/>
    </w:p>
    <w:p w14:paraId="7F44DABC" w14:textId="77777777" w:rsidR="002943DA" w:rsidRDefault="002943DA" w:rsidP="00B47CAC">
      <w:pPr>
        <w:rPr>
          <w:rFonts w:asciiTheme="minorHAnsi" w:hAnsiTheme="minorHAnsi"/>
        </w:rPr>
      </w:pPr>
      <w:r w:rsidRPr="00BA64B4">
        <w:rPr>
          <w:rFonts w:asciiTheme="minorHAnsi" w:hAnsiTheme="minorHAnsi"/>
        </w:rPr>
        <w:t xml:space="preserve">Provide the </w:t>
      </w:r>
      <w:r w:rsidR="00990E9C">
        <w:rPr>
          <w:rFonts w:asciiTheme="minorHAnsi" w:hAnsiTheme="minorHAnsi"/>
        </w:rPr>
        <w:t xml:space="preserve">average age, </w:t>
      </w:r>
      <w:r w:rsidR="002205B6" w:rsidRPr="00BA64B4">
        <w:rPr>
          <w:rFonts w:asciiTheme="minorHAnsi" w:hAnsiTheme="minorHAnsi"/>
        </w:rPr>
        <w:t>age breakdown</w:t>
      </w:r>
      <w:r w:rsidR="00990E9C">
        <w:rPr>
          <w:rFonts w:asciiTheme="minorHAnsi" w:hAnsiTheme="minorHAnsi"/>
        </w:rPr>
        <w:t>,</w:t>
      </w:r>
      <w:r w:rsidR="002205B6" w:rsidRPr="00BA64B4">
        <w:rPr>
          <w:rFonts w:asciiTheme="minorHAnsi" w:hAnsiTheme="minorHAnsi"/>
        </w:rPr>
        <w:t xml:space="preserve"> and total </w:t>
      </w:r>
      <w:r w:rsidRPr="00BA64B4">
        <w:rPr>
          <w:rFonts w:asciiTheme="minorHAnsi" w:hAnsiTheme="minorHAnsi"/>
        </w:rPr>
        <w:t>number of member</w:t>
      </w:r>
      <w:r w:rsidR="00D24AD0" w:rsidRPr="00BA64B4">
        <w:rPr>
          <w:rFonts w:asciiTheme="minorHAnsi" w:hAnsiTheme="minorHAnsi"/>
        </w:rPr>
        <w:t>s</w:t>
      </w:r>
      <w:r w:rsidR="00A2725C" w:rsidRPr="00BA64B4">
        <w:rPr>
          <w:rFonts w:asciiTheme="minorHAnsi" w:hAnsiTheme="minorHAnsi"/>
        </w:rPr>
        <w:t xml:space="preserve"> </w:t>
      </w:r>
      <w:r w:rsidRPr="00BA64B4">
        <w:rPr>
          <w:rFonts w:asciiTheme="minorHAnsi" w:hAnsiTheme="minorHAnsi"/>
        </w:rPr>
        <w:t>for the periods</w:t>
      </w:r>
      <w:r w:rsidR="00104095">
        <w:rPr>
          <w:rFonts w:asciiTheme="minorHAnsi" w:hAnsiTheme="minorHAnsi"/>
        </w:rPr>
        <w:t xml:space="preserve"> shown in Table 1</w:t>
      </w:r>
      <w:r w:rsidRPr="00BA64B4">
        <w:rPr>
          <w:rFonts w:asciiTheme="minorHAnsi" w:hAnsiTheme="minorHAnsi"/>
        </w:rPr>
        <w:t>.</w:t>
      </w:r>
      <w:r w:rsidR="00990E9C">
        <w:rPr>
          <w:rFonts w:asciiTheme="minorHAnsi" w:hAnsiTheme="minorHAnsi"/>
        </w:rPr>
        <w:t xml:space="preserve"> </w:t>
      </w:r>
    </w:p>
    <w:p w14:paraId="0F886625" w14:textId="77777777" w:rsidR="00A33812" w:rsidRDefault="00A33812" w:rsidP="00B47CAC">
      <w:pPr>
        <w:rPr>
          <w:rFonts w:asciiTheme="minorHAnsi" w:hAnsiTheme="minorHAnsi"/>
        </w:rPr>
      </w:pPr>
    </w:p>
    <w:p w14:paraId="7EC3590D" w14:textId="77777777" w:rsidR="00A33812" w:rsidRPr="00BA64B4" w:rsidRDefault="00A33812" w:rsidP="00B47CAC">
      <w:pPr>
        <w:rPr>
          <w:rFonts w:asciiTheme="minorHAnsi" w:hAnsiTheme="minorHAnsi"/>
        </w:rPr>
      </w:pPr>
      <w:r>
        <w:rPr>
          <w:rFonts w:asciiTheme="minorHAnsi" w:hAnsiTheme="minorHAnsi"/>
        </w:rPr>
        <w:t xml:space="preserve">For small group market filings, include all members as of 2/1/17, regardless of whether they are in plan year 2016 or plan year 2017 plans. </w:t>
      </w:r>
    </w:p>
    <w:p w14:paraId="273C5018" w14:textId="77777777" w:rsidR="00946AEA" w:rsidRPr="00BA64B4" w:rsidRDefault="00946AEA" w:rsidP="00536888">
      <w:pPr>
        <w:pStyle w:val="Heading2"/>
        <w:rPr>
          <w:rStyle w:val="Heading1Char"/>
          <w:rFonts w:asciiTheme="minorHAnsi" w:hAnsiTheme="minorHAnsi"/>
          <w:b w:val="0"/>
          <w:bCs w:val="0"/>
          <w:sz w:val="26"/>
          <w:szCs w:val="26"/>
        </w:rPr>
      </w:pPr>
      <w:bookmarkStart w:id="149" w:name="_Toc439315488"/>
      <w:bookmarkStart w:id="150" w:name="_Toc439317453"/>
      <w:bookmarkStart w:id="151" w:name="_Toc439317554"/>
      <w:bookmarkStart w:id="152" w:name="_Toc439317655"/>
      <w:bookmarkStart w:id="153" w:name="_Toc440553965"/>
      <w:bookmarkStart w:id="154" w:name="_Toc440555407"/>
      <w:bookmarkStart w:id="155" w:name="_Toc440555584"/>
      <w:bookmarkStart w:id="156" w:name="_Toc440555648"/>
      <w:bookmarkStart w:id="157" w:name="_Toc474316430"/>
      <w:bookmarkEnd w:id="149"/>
      <w:bookmarkEnd w:id="150"/>
      <w:bookmarkEnd w:id="151"/>
      <w:bookmarkEnd w:id="152"/>
      <w:r w:rsidRPr="00BA64B4">
        <w:rPr>
          <w:rStyle w:val="Heading1Char"/>
          <w:rFonts w:asciiTheme="minorHAnsi" w:hAnsiTheme="minorHAnsi"/>
          <w:b w:val="0"/>
          <w:bCs w:val="0"/>
          <w:sz w:val="26"/>
          <w:szCs w:val="26"/>
        </w:rPr>
        <w:t xml:space="preserve">Benefit </w:t>
      </w:r>
      <w:r w:rsidR="006B4A8E">
        <w:rPr>
          <w:rStyle w:val="Heading1Char"/>
          <w:rFonts w:asciiTheme="minorHAnsi" w:hAnsiTheme="minorHAnsi"/>
          <w:b w:val="0"/>
          <w:bCs w:val="0"/>
          <w:sz w:val="26"/>
          <w:szCs w:val="26"/>
        </w:rPr>
        <w:t>C</w:t>
      </w:r>
      <w:r w:rsidRPr="00BA64B4">
        <w:rPr>
          <w:rStyle w:val="Heading1Char"/>
          <w:rFonts w:asciiTheme="minorHAnsi" w:hAnsiTheme="minorHAnsi"/>
          <w:b w:val="0"/>
          <w:bCs w:val="0"/>
          <w:sz w:val="26"/>
          <w:szCs w:val="26"/>
        </w:rPr>
        <w:t>hanges</w:t>
      </w:r>
      <w:bookmarkEnd w:id="153"/>
      <w:bookmarkEnd w:id="154"/>
      <w:bookmarkEnd w:id="155"/>
      <w:bookmarkEnd w:id="156"/>
      <w:bookmarkEnd w:id="157"/>
      <w:r w:rsidR="00057111">
        <w:rPr>
          <w:rStyle w:val="Heading1Char"/>
          <w:rFonts w:asciiTheme="minorHAnsi" w:hAnsiTheme="minorHAnsi"/>
          <w:b w:val="0"/>
          <w:bCs w:val="0"/>
          <w:sz w:val="26"/>
          <w:szCs w:val="26"/>
        </w:rPr>
        <w:t xml:space="preserve"> </w:t>
      </w:r>
    </w:p>
    <w:p w14:paraId="4FD972AC" w14:textId="77777777" w:rsidR="00E54AEF" w:rsidRPr="00BA64B4" w:rsidRDefault="00946AEA" w:rsidP="003C5DEF">
      <w:pPr>
        <w:rPr>
          <w:rFonts w:asciiTheme="minorHAnsi" w:hAnsiTheme="minorHAnsi"/>
        </w:rPr>
      </w:pPr>
      <w:r w:rsidRPr="00BA64B4">
        <w:rPr>
          <w:rFonts w:asciiTheme="minorHAnsi" w:hAnsiTheme="minorHAnsi"/>
        </w:rPr>
        <w:t xml:space="preserve">Identify any benefit or cost sharing changes and the corresponding </w:t>
      </w:r>
      <w:r w:rsidR="00037403" w:rsidRPr="00BA64B4">
        <w:rPr>
          <w:rFonts w:asciiTheme="minorHAnsi" w:hAnsiTheme="minorHAnsi"/>
        </w:rPr>
        <w:t>HIOS</w:t>
      </w:r>
      <w:r w:rsidRPr="00BA64B4">
        <w:rPr>
          <w:rFonts w:asciiTheme="minorHAnsi" w:hAnsiTheme="minorHAnsi"/>
        </w:rPr>
        <w:t xml:space="preserve"> Plan IDs for the impacted plans.  Provide a discussion of the pricing assumptions used in the development of the cost for the benefit changes. Discuss the impact of changes to the AV calculator, if applicable.</w:t>
      </w:r>
      <w:r w:rsidR="00523F31" w:rsidRPr="00BA64B4">
        <w:rPr>
          <w:rFonts w:asciiTheme="minorHAnsi" w:hAnsiTheme="minorHAnsi"/>
        </w:rPr>
        <w:t xml:space="preserve">  Note: </w:t>
      </w:r>
      <w:r w:rsidR="00510330" w:rsidRPr="00BA64B4">
        <w:rPr>
          <w:rFonts w:asciiTheme="minorHAnsi" w:hAnsiTheme="minorHAnsi"/>
        </w:rPr>
        <w:t>T</w:t>
      </w:r>
      <w:r w:rsidR="00523F31" w:rsidRPr="00BA64B4">
        <w:rPr>
          <w:rFonts w:asciiTheme="minorHAnsi" w:hAnsiTheme="minorHAnsi"/>
        </w:rPr>
        <w:t xml:space="preserve">he </w:t>
      </w:r>
      <w:r w:rsidR="00057111">
        <w:rPr>
          <w:rFonts w:asciiTheme="minorHAnsi" w:hAnsiTheme="minorHAnsi"/>
        </w:rPr>
        <w:t xml:space="preserve">current </w:t>
      </w:r>
      <w:r w:rsidR="005A0602" w:rsidRPr="00BA64B4">
        <w:rPr>
          <w:rFonts w:asciiTheme="minorHAnsi" w:hAnsiTheme="minorHAnsi"/>
        </w:rPr>
        <w:t xml:space="preserve">EHB </w:t>
      </w:r>
      <w:r w:rsidR="00510330" w:rsidRPr="00BA64B4">
        <w:rPr>
          <w:rFonts w:asciiTheme="minorHAnsi" w:hAnsiTheme="minorHAnsi"/>
        </w:rPr>
        <w:t xml:space="preserve">Benchmark Plan for Pennsylvania is the Keystone HMO Gold Preferred $30/$60/$600 </w:t>
      </w:r>
      <w:r w:rsidR="00274927" w:rsidRPr="00BA64B4">
        <w:rPr>
          <w:rFonts w:asciiTheme="minorHAnsi" w:hAnsiTheme="minorHAnsi"/>
        </w:rPr>
        <w:t xml:space="preserve">small group </w:t>
      </w:r>
      <w:r w:rsidR="00510330" w:rsidRPr="00BA64B4">
        <w:rPr>
          <w:rFonts w:asciiTheme="minorHAnsi" w:hAnsiTheme="minorHAnsi"/>
        </w:rPr>
        <w:t>plan offered by Keystone Health Plan East, Inc.</w:t>
      </w:r>
    </w:p>
    <w:p w14:paraId="64111509" w14:textId="77777777" w:rsidR="007E61B5" w:rsidRPr="00BA64B4" w:rsidRDefault="007E61B5" w:rsidP="00500B1B">
      <w:pPr>
        <w:pStyle w:val="Heading2"/>
        <w:rPr>
          <w:rFonts w:asciiTheme="minorHAnsi" w:hAnsiTheme="minorHAnsi"/>
        </w:rPr>
      </w:pPr>
      <w:bookmarkStart w:id="158" w:name="_Toc474316431"/>
      <w:r w:rsidRPr="00BA64B4">
        <w:rPr>
          <w:rFonts w:asciiTheme="minorHAnsi" w:hAnsiTheme="minorHAnsi"/>
        </w:rPr>
        <w:t xml:space="preserve">Experience Period Claims and Premium </w:t>
      </w:r>
      <w:r w:rsidR="00DF34DE" w:rsidRPr="00DF34DE">
        <w:rPr>
          <w:rFonts w:asciiTheme="minorHAnsi" w:hAnsiTheme="minorHAnsi"/>
        </w:rPr>
        <w:t xml:space="preserve">(Table </w:t>
      </w:r>
      <w:r w:rsidR="00DF34DE">
        <w:rPr>
          <w:rFonts w:asciiTheme="minorHAnsi" w:hAnsiTheme="minorHAnsi"/>
        </w:rPr>
        <w:t>2</w:t>
      </w:r>
      <w:r w:rsidR="00DF34DE" w:rsidRPr="00DF34DE">
        <w:rPr>
          <w:rFonts w:asciiTheme="minorHAnsi" w:hAnsiTheme="minorHAnsi"/>
        </w:rPr>
        <w:t>)</w:t>
      </w:r>
      <w:bookmarkEnd w:id="158"/>
    </w:p>
    <w:p w14:paraId="7E60F154" w14:textId="77777777" w:rsidR="008C5BB7" w:rsidRDefault="008C5BB7" w:rsidP="008C5BB7">
      <w:pPr>
        <w:rPr>
          <w:rFonts w:asciiTheme="minorHAnsi" w:hAnsiTheme="minorHAnsi"/>
        </w:rPr>
      </w:pPr>
      <w:r>
        <w:rPr>
          <w:rFonts w:asciiTheme="minorHAnsi" w:hAnsiTheme="minorHAnsi"/>
        </w:rPr>
        <w:t>In Table 2, p</w:t>
      </w:r>
      <w:r w:rsidRPr="00BA64B4">
        <w:rPr>
          <w:rFonts w:asciiTheme="minorHAnsi" w:hAnsiTheme="minorHAnsi"/>
        </w:rPr>
        <w:t xml:space="preserve">rovide experience period data for the most recent calendar year.  </w:t>
      </w:r>
      <w:r w:rsidR="0080513C">
        <w:rPr>
          <w:rFonts w:asciiTheme="minorHAnsi" w:hAnsiTheme="minorHAnsi"/>
        </w:rPr>
        <w:t xml:space="preserve">Although CMS does not require calendar year data for small groups in </w:t>
      </w:r>
      <w:r w:rsidR="00CC3CAA">
        <w:rPr>
          <w:rFonts w:asciiTheme="minorHAnsi" w:hAnsiTheme="minorHAnsi"/>
        </w:rPr>
        <w:t>Section I of Worksheet I of the URRT</w:t>
      </w:r>
      <w:r w:rsidR="0080513C">
        <w:rPr>
          <w:rFonts w:asciiTheme="minorHAnsi" w:hAnsiTheme="minorHAnsi"/>
        </w:rPr>
        <w:t xml:space="preserve">, the Department </w:t>
      </w:r>
      <w:r w:rsidR="00A75C2B">
        <w:rPr>
          <w:rFonts w:asciiTheme="minorHAnsi" w:hAnsiTheme="minorHAnsi"/>
        </w:rPr>
        <w:t>requests that</w:t>
      </w:r>
      <w:r w:rsidR="0080513C">
        <w:rPr>
          <w:rFonts w:asciiTheme="minorHAnsi" w:hAnsiTheme="minorHAnsi"/>
        </w:rPr>
        <w:t xml:space="preserve"> issuers complete this section using calendar year data.</w:t>
      </w:r>
      <w:r w:rsidR="00CC3CAA">
        <w:rPr>
          <w:rFonts w:asciiTheme="minorHAnsi" w:hAnsiTheme="minorHAnsi"/>
        </w:rPr>
        <w:t xml:space="preserve"> </w:t>
      </w:r>
    </w:p>
    <w:p w14:paraId="68171568" w14:textId="77777777" w:rsidR="008C5BB7" w:rsidRPr="00BA64B4" w:rsidRDefault="008C5BB7" w:rsidP="008C5BB7">
      <w:pPr>
        <w:rPr>
          <w:rFonts w:asciiTheme="minorHAnsi" w:hAnsiTheme="minorHAnsi"/>
        </w:rPr>
      </w:pPr>
    </w:p>
    <w:p w14:paraId="589D1437" w14:textId="77777777" w:rsidR="008C5BB7" w:rsidRPr="00271157" w:rsidRDefault="00D604B5" w:rsidP="00536888">
      <w:pPr>
        <w:rPr>
          <w:rFonts w:asciiTheme="minorHAnsi" w:hAnsiTheme="minorHAnsi"/>
        </w:rPr>
      </w:pPr>
      <w:r w:rsidRPr="00BA64B4">
        <w:rPr>
          <w:rFonts w:asciiTheme="minorHAnsi" w:hAnsiTheme="minorHAnsi"/>
        </w:rPr>
        <w:t>The</w:t>
      </w:r>
      <w:r w:rsidR="00165F63" w:rsidRPr="00BA64B4">
        <w:rPr>
          <w:rFonts w:asciiTheme="minorHAnsi" w:hAnsiTheme="minorHAnsi"/>
        </w:rPr>
        <w:t xml:space="preserve"> </w:t>
      </w:r>
      <w:r w:rsidR="0058025D" w:rsidRPr="00BA64B4">
        <w:rPr>
          <w:rFonts w:asciiTheme="minorHAnsi" w:hAnsiTheme="minorHAnsi"/>
        </w:rPr>
        <w:t xml:space="preserve">experience period </w:t>
      </w:r>
      <w:r w:rsidR="00633CE3" w:rsidRPr="00BA64B4">
        <w:rPr>
          <w:rFonts w:asciiTheme="minorHAnsi" w:hAnsiTheme="minorHAnsi"/>
        </w:rPr>
        <w:t xml:space="preserve">paid </w:t>
      </w:r>
      <w:r w:rsidRPr="00BA64B4">
        <w:rPr>
          <w:rFonts w:asciiTheme="minorHAnsi" w:hAnsiTheme="minorHAnsi"/>
        </w:rPr>
        <w:t xml:space="preserve">claims </w:t>
      </w:r>
      <w:r w:rsidR="00165F63" w:rsidRPr="00BA64B4">
        <w:rPr>
          <w:rFonts w:asciiTheme="minorHAnsi" w:hAnsiTheme="minorHAnsi"/>
        </w:rPr>
        <w:t xml:space="preserve">data must represent the most recent calendar year </w:t>
      </w:r>
      <w:r w:rsidR="00A05049" w:rsidRPr="00BA64B4">
        <w:rPr>
          <w:rFonts w:asciiTheme="minorHAnsi" w:hAnsiTheme="minorHAnsi"/>
        </w:rPr>
        <w:t xml:space="preserve">for all non-grandfathered policies in </w:t>
      </w:r>
      <w:r w:rsidR="00A05049" w:rsidRPr="00271157">
        <w:rPr>
          <w:rFonts w:asciiTheme="minorHAnsi" w:hAnsiTheme="minorHAnsi"/>
        </w:rPr>
        <w:t xml:space="preserve">the single risk pool, with </w:t>
      </w:r>
      <w:r w:rsidR="00916DBE" w:rsidRPr="00271157">
        <w:rPr>
          <w:rFonts w:asciiTheme="minorHAnsi" w:hAnsiTheme="minorHAnsi"/>
        </w:rPr>
        <w:t xml:space="preserve">at least </w:t>
      </w:r>
      <w:r w:rsidR="00F00B43" w:rsidRPr="00271157">
        <w:rPr>
          <w:rFonts w:asciiTheme="minorHAnsi" w:hAnsiTheme="minorHAnsi"/>
        </w:rPr>
        <w:t>one</w:t>
      </w:r>
      <w:r w:rsidR="00A05049" w:rsidRPr="00271157">
        <w:rPr>
          <w:rFonts w:asciiTheme="minorHAnsi" w:hAnsiTheme="minorHAnsi"/>
        </w:rPr>
        <w:t xml:space="preserve"> month of run out, for the named entity</w:t>
      </w:r>
      <w:r w:rsidR="00A436EE" w:rsidRPr="00271157">
        <w:rPr>
          <w:rFonts w:asciiTheme="minorHAnsi" w:hAnsiTheme="minorHAnsi"/>
        </w:rPr>
        <w:t xml:space="preserve"> and market</w:t>
      </w:r>
      <w:r w:rsidR="00165F63" w:rsidRPr="00271157">
        <w:rPr>
          <w:rFonts w:asciiTheme="minorHAnsi" w:hAnsiTheme="minorHAnsi"/>
        </w:rPr>
        <w:t xml:space="preserve">.  </w:t>
      </w:r>
      <w:r w:rsidRPr="00271157">
        <w:rPr>
          <w:rFonts w:asciiTheme="minorHAnsi" w:hAnsiTheme="minorHAnsi"/>
        </w:rPr>
        <w:t xml:space="preserve">(Point-of-Service data may be based on multiple companies.)  </w:t>
      </w:r>
    </w:p>
    <w:p w14:paraId="1D1D6F3A" w14:textId="77777777" w:rsidR="009833F6" w:rsidRPr="00271157" w:rsidRDefault="009833F6" w:rsidP="00536888">
      <w:pPr>
        <w:rPr>
          <w:rFonts w:asciiTheme="minorHAnsi" w:hAnsiTheme="minorHAnsi"/>
        </w:rPr>
      </w:pPr>
    </w:p>
    <w:p w14:paraId="0D40D778" w14:textId="77777777" w:rsidR="00096505" w:rsidRPr="00271157" w:rsidRDefault="00A436EE" w:rsidP="00536888">
      <w:pPr>
        <w:rPr>
          <w:rFonts w:asciiTheme="minorHAnsi" w:hAnsiTheme="minorHAnsi"/>
        </w:rPr>
      </w:pPr>
      <w:r w:rsidRPr="00271157">
        <w:rPr>
          <w:rFonts w:asciiTheme="minorHAnsi" w:hAnsiTheme="minorHAnsi"/>
        </w:rPr>
        <w:t>If this data is not consistent with the data reported in Section I of Worksheet I of the URRT, discuss why</w:t>
      </w:r>
      <w:r w:rsidR="00901999" w:rsidRPr="00271157">
        <w:rPr>
          <w:rFonts w:asciiTheme="minorHAnsi" w:hAnsiTheme="minorHAnsi"/>
        </w:rPr>
        <w:t xml:space="preserve">.  </w:t>
      </w:r>
      <w:r w:rsidR="00766355" w:rsidRPr="00271157">
        <w:rPr>
          <w:rFonts w:asciiTheme="minorHAnsi" w:hAnsiTheme="minorHAnsi"/>
        </w:rPr>
        <w:t>N</w:t>
      </w:r>
      <w:r w:rsidR="00F30B47" w:rsidRPr="00271157">
        <w:rPr>
          <w:rFonts w:asciiTheme="minorHAnsi" w:hAnsiTheme="minorHAnsi"/>
        </w:rPr>
        <w:t xml:space="preserve">ote that </w:t>
      </w:r>
      <w:r w:rsidR="00D901C2" w:rsidRPr="00271157">
        <w:rPr>
          <w:rFonts w:asciiTheme="minorHAnsi" w:hAnsiTheme="minorHAnsi"/>
        </w:rPr>
        <w:t xml:space="preserve">claims for </w:t>
      </w:r>
      <w:r w:rsidR="00F30B47" w:rsidRPr="00271157">
        <w:rPr>
          <w:rFonts w:asciiTheme="minorHAnsi" w:hAnsiTheme="minorHAnsi"/>
        </w:rPr>
        <w:t xml:space="preserve">transitional </w:t>
      </w:r>
      <w:r w:rsidR="00D901C2" w:rsidRPr="00271157">
        <w:rPr>
          <w:rFonts w:asciiTheme="minorHAnsi" w:hAnsiTheme="minorHAnsi"/>
        </w:rPr>
        <w:t xml:space="preserve">policies </w:t>
      </w:r>
      <w:r w:rsidR="00F30B47" w:rsidRPr="00271157">
        <w:rPr>
          <w:rFonts w:asciiTheme="minorHAnsi" w:hAnsiTheme="minorHAnsi"/>
        </w:rPr>
        <w:t>must be included</w:t>
      </w:r>
      <w:r w:rsidR="00740104" w:rsidRPr="00271157">
        <w:rPr>
          <w:rFonts w:asciiTheme="minorHAnsi" w:hAnsiTheme="minorHAnsi"/>
        </w:rPr>
        <w:t>; if premium for transitional policies is included in table 2, provide the dollar amount of premium and the number of transitional members</w:t>
      </w:r>
      <w:r w:rsidR="00F30B47" w:rsidRPr="00271157">
        <w:rPr>
          <w:rFonts w:asciiTheme="minorHAnsi" w:hAnsiTheme="minorHAnsi"/>
        </w:rPr>
        <w:t xml:space="preserve">.  </w:t>
      </w:r>
      <w:r w:rsidR="00D563A7" w:rsidRPr="00271157">
        <w:rPr>
          <w:rFonts w:asciiTheme="minorHAnsi" w:hAnsiTheme="minorHAnsi"/>
        </w:rPr>
        <w:t>The narrative must discuss an</w:t>
      </w:r>
      <w:r w:rsidR="00873E0F" w:rsidRPr="00271157">
        <w:rPr>
          <w:rFonts w:asciiTheme="minorHAnsi" w:hAnsiTheme="minorHAnsi"/>
        </w:rPr>
        <w:t>y</w:t>
      </w:r>
      <w:r w:rsidR="00D563A7" w:rsidRPr="00271157">
        <w:rPr>
          <w:rFonts w:asciiTheme="minorHAnsi" w:hAnsiTheme="minorHAnsi"/>
        </w:rPr>
        <w:t xml:space="preserve"> adjustments to the data</w:t>
      </w:r>
      <w:r w:rsidR="00766355" w:rsidRPr="00271157">
        <w:rPr>
          <w:rFonts w:asciiTheme="minorHAnsi" w:hAnsiTheme="minorHAnsi"/>
        </w:rPr>
        <w:t>,</w:t>
      </w:r>
      <w:r w:rsidR="00C07654" w:rsidRPr="00271157">
        <w:rPr>
          <w:rFonts w:asciiTheme="minorHAnsi" w:hAnsiTheme="minorHAnsi"/>
        </w:rPr>
        <w:t xml:space="preserve"> </w:t>
      </w:r>
      <w:r w:rsidR="00D563A7" w:rsidRPr="00271157">
        <w:rPr>
          <w:rFonts w:asciiTheme="minorHAnsi" w:hAnsiTheme="minorHAnsi"/>
        </w:rPr>
        <w:t>the basis for the adjustment</w:t>
      </w:r>
      <w:r w:rsidR="00C07654" w:rsidRPr="00271157">
        <w:rPr>
          <w:rFonts w:asciiTheme="minorHAnsi" w:hAnsiTheme="minorHAnsi"/>
        </w:rPr>
        <w:t>s</w:t>
      </w:r>
      <w:r w:rsidR="00DE7DF7" w:rsidRPr="00271157">
        <w:rPr>
          <w:rFonts w:asciiTheme="minorHAnsi" w:hAnsiTheme="minorHAnsi"/>
        </w:rPr>
        <w:t xml:space="preserve"> and provide supporting data</w:t>
      </w:r>
      <w:r w:rsidR="00D563A7" w:rsidRPr="00271157">
        <w:rPr>
          <w:rFonts w:asciiTheme="minorHAnsi" w:hAnsiTheme="minorHAnsi"/>
        </w:rPr>
        <w:t>.</w:t>
      </w:r>
      <w:r w:rsidR="00DE7DF7" w:rsidRPr="00271157">
        <w:rPr>
          <w:rFonts w:asciiTheme="minorHAnsi" w:hAnsiTheme="minorHAnsi"/>
        </w:rPr>
        <w:t xml:space="preserve">  </w:t>
      </w:r>
      <w:r w:rsidR="00EE302B" w:rsidRPr="00271157">
        <w:rPr>
          <w:rFonts w:asciiTheme="minorHAnsi" w:hAnsiTheme="minorHAnsi"/>
        </w:rPr>
        <w:t xml:space="preserve"> </w:t>
      </w:r>
    </w:p>
    <w:p w14:paraId="0B96D071" w14:textId="77777777" w:rsidR="00096505" w:rsidRPr="00271157" w:rsidRDefault="00096505" w:rsidP="00536888">
      <w:pPr>
        <w:rPr>
          <w:rFonts w:asciiTheme="minorHAnsi" w:hAnsiTheme="minorHAnsi"/>
        </w:rPr>
      </w:pPr>
    </w:p>
    <w:p w14:paraId="33C73B38" w14:textId="77777777" w:rsidR="00096505" w:rsidRPr="00271157" w:rsidRDefault="00096505" w:rsidP="00536888">
      <w:pPr>
        <w:rPr>
          <w:rFonts w:asciiTheme="minorHAnsi" w:hAnsiTheme="minorHAnsi"/>
        </w:rPr>
      </w:pPr>
      <w:r w:rsidRPr="00271157">
        <w:rPr>
          <w:rFonts w:asciiTheme="minorHAnsi" w:hAnsiTheme="minorHAnsi"/>
        </w:rPr>
        <w:t xml:space="preserve">Additionally, the narrative must: </w:t>
      </w:r>
    </w:p>
    <w:p w14:paraId="7D37A7B6" w14:textId="77777777" w:rsidR="00096505" w:rsidRPr="00271157" w:rsidRDefault="007B5933" w:rsidP="007E6C90">
      <w:pPr>
        <w:pStyle w:val="ListParagraph"/>
        <w:numPr>
          <w:ilvl w:val="0"/>
          <w:numId w:val="12"/>
        </w:numPr>
        <w:ind w:left="720"/>
        <w:rPr>
          <w:rFonts w:asciiTheme="minorHAnsi" w:hAnsiTheme="minorHAnsi"/>
        </w:rPr>
      </w:pPr>
      <w:r w:rsidRPr="00271157">
        <w:rPr>
          <w:rFonts w:asciiTheme="minorHAnsi" w:hAnsiTheme="minorHAnsi"/>
        </w:rPr>
        <w:t>Discuss</w:t>
      </w:r>
      <w:r w:rsidR="00096505" w:rsidRPr="00271157">
        <w:rPr>
          <w:rFonts w:asciiTheme="minorHAnsi" w:hAnsiTheme="minorHAnsi"/>
        </w:rPr>
        <w:t xml:space="preserve"> the development of the premium data</w:t>
      </w:r>
      <w:r w:rsidR="00960D07" w:rsidRPr="00271157">
        <w:rPr>
          <w:rFonts w:asciiTheme="minorHAnsi" w:hAnsiTheme="minorHAnsi"/>
        </w:rPr>
        <w:t>.</w:t>
      </w:r>
    </w:p>
    <w:p w14:paraId="5B29DF2F" w14:textId="77777777" w:rsidR="007B5933" w:rsidRPr="00271157" w:rsidRDefault="00096505" w:rsidP="007E6C90">
      <w:pPr>
        <w:pStyle w:val="ListParagraph"/>
        <w:numPr>
          <w:ilvl w:val="0"/>
          <w:numId w:val="12"/>
        </w:numPr>
        <w:ind w:left="720"/>
        <w:rPr>
          <w:rFonts w:asciiTheme="minorHAnsi" w:hAnsiTheme="minorHAnsi"/>
        </w:rPr>
      </w:pPr>
      <w:r w:rsidRPr="00271157">
        <w:rPr>
          <w:rFonts w:asciiTheme="minorHAnsi" w:hAnsiTheme="minorHAnsi"/>
        </w:rPr>
        <w:t>D</w:t>
      </w:r>
      <w:r w:rsidR="0062172A" w:rsidRPr="00271157">
        <w:rPr>
          <w:rFonts w:asciiTheme="minorHAnsi" w:hAnsiTheme="minorHAnsi"/>
        </w:rPr>
        <w:t xml:space="preserve">iscuss the </w:t>
      </w:r>
      <w:r w:rsidR="00C07654" w:rsidRPr="00271157">
        <w:rPr>
          <w:rFonts w:asciiTheme="minorHAnsi" w:hAnsiTheme="minorHAnsi"/>
        </w:rPr>
        <w:t xml:space="preserve">development of the </w:t>
      </w:r>
      <w:r w:rsidR="0062172A" w:rsidRPr="00271157">
        <w:rPr>
          <w:rFonts w:asciiTheme="minorHAnsi" w:hAnsiTheme="minorHAnsi"/>
        </w:rPr>
        <w:t>allowed claims.</w:t>
      </w:r>
      <w:r w:rsidR="008B078F" w:rsidRPr="00271157">
        <w:rPr>
          <w:rFonts w:asciiTheme="minorHAnsi" w:hAnsiTheme="minorHAnsi"/>
        </w:rPr>
        <w:t xml:space="preserve">  </w:t>
      </w:r>
    </w:p>
    <w:p w14:paraId="706407D4" w14:textId="77777777" w:rsidR="00960D07" w:rsidRPr="00960D07" w:rsidRDefault="00960D07" w:rsidP="007E6C90">
      <w:pPr>
        <w:pStyle w:val="ListParagraph"/>
        <w:numPr>
          <w:ilvl w:val="1"/>
          <w:numId w:val="12"/>
        </w:numPr>
        <w:rPr>
          <w:rFonts w:asciiTheme="minorHAnsi" w:hAnsiTheme="minorHAnsi"/>
        </w:rPr>
      </w:pPr>
      <w:r w:rsidRPr="00271157">
        <w:rPr>
          <w:rFonts w:asciiTheme="minorHAnsi" w:hAnsiTheme="minorHAnsi"/>
        </w:rPr>
        <w:t>Refer to the URR instructions for the definition of allowed claims. Note that the URR instructions state that “By definition, “Allowed Claims” do not include: […] Recovery payments</w:t>
      </w:r>
      <w:r w:rsidRPr="00960D07">
        <w:rPr>
          <w:rFonts w:asciiTheme="minorHAnsi" w:hAnsiTheme="minorHAnsi"/>
        </w:rPr>
        <w:t xml:space="preserve"> the issuer may receive from private reinsurance or internal large claim pooling mechanisms. These types of adjustments should be handled in the </w:t>
      </w:r>
      <w:r>
        <w:rPr>
          <w:rFonts w:asciiTheme="minorHAnsi" w:hAnsiTheme="minorHAnsi"/>
        </w:rPr>
        <w:t>“</w:t>
      </w:r>
      <w:r w:rsidRPr="00960D07">
        <w:rPr>
          <w:rFonts w:asciiTheme="minorHAnsi" w:hAnsiTheme="minorHAnsi"/>
        </w:rPr>
        <w:t>Other</w:t>
      </w:r>
      <w:r>
        <w:rPr>
          <w:rFonts w:asciiTheme="minorHAnsi" w:hAnsiTheme="minorHAnsi"/>
        </w:rPr>
        <w:t>”</w:t>
      </w:r>
      <w:r w:rsidRPr="00960D07">
        <w:rPr>
          <w:rFonts w:asciiTheme="minorHAnsi" w:hAnsiTheme="minorHAnsi"/>
        </w:rPr>
        <w:t xml:space="preserve"> adjustment factor found in Section II of Worksheet 1.</w:t>
      </w:r>
      <w:r>
        <w:rPr>
          <w:rFonts w:asciiTheme="minorHAnsi" w:hAnsiTheme="minorHAnsi"/>
        </w:rPr>
        <w:t>”</w:t>
      </w:r>
    </w:p>
    <w:p w14:paraId="488D5696" w14:textId="77777777" w:rsidR="008C5BB7" w:rsidRPr="007B5933" w:rsidRDefault="00C41407" w:rsidP="007E6C90">
      <w:pPr>
        <w:pStyle w:val="ListParagraph"/>
        <w:numPr>
          <w:ilvl w:val="0"/>
          <w:numId w:val="12"/>
        </w:numPr>
        <w:ind w:left="720"/>
        <w:rPr>
          <w:rFonts w:asciiTheme="minorHAnsi" w:hAnsiTheme="minorHAnsi"/>
        </w:rPr>
      </w:pPr>
      <w:r w:rsidRPr="007B5933">
        <w:rPr>
          <w:rFonts w:asciiTheme="minorHAnsi" w:hAnsiTheme="minorHAnsi"/>
        </w:rPr>
        <w:t>Separately identify non-EHB benefits and the experience period cost</w:t>
      </w:r>
      <w:r w:rsidR="004A0DAD" w:rsidRPr="007B5933">
        <w:rPr>
          <w:rFonts w:asciiTheme="minorHAnsi" w:hAnsiTheme="minorHAnsi"/>
        </w:rPr>
        <w:t xml:space="preserve">. </w:t>
      </w:r>
    </w:p>
    <w:p w14:paraId="713F9B05" w14:textId="77777777" w:rsidR="007B5933" w:rsidRDefault="00B86A31" w:rsidP="007E6C90">
      <w:pPr>
        <w:pStyle w:val="ListParagraph"/>
        <w:numPr>
          <w:ilvl w:val="0"/>
          <w:numId w:val="12"/>
        </w:numPr>
        <w:ind w:left="720"/>
        <w:rPr>
          <w:rFonts w:asciiTheme="minorHAnsi" w:hAnsiTheme="minorHAnsi"/>
        </w:rPr>
      </w:pPr>
      <w:r w:rsidRPr="007B5933">
        <w:rPr>
          <w:rFonts w:asciiTheme="minorHAnsi" w:hAnsiTheme="minorHAnsi"/>
        </w:rPr>
        <w:t xml:space="preserve">Discuss </w:t>
      </w:r>
      <w:r w:rsidR="00AF4B82" w:rsidRPr="007B5933">
        <w:rPr>
          <w:rFonts w:asciiTheme="minorHAnsi" w:hAnsiTheme="minorHAnsi"/>
        </w:rPr>
        <w:t>capitated services</w:t>
      </w:r>
      <w:r w:rsidR="00631864" w:rsidRPr="007B5933">
        <w:rPr>
          <w:rFonts w:asciiTheme="minorHAnsi" w:hAnsiTheme="minorHAnsi"/>
        </w:rPr>
        <w:t xml:space="preserve">, the </w:t>
      </w:r>
      <w:r w:rsidR="00AF4B82" w:rsidRPr="007B5933">
        <w:rPr>
          <w:rFonts w:asciiTheme="minorHAnsi" w:hAnsiTheme="minorHAnsi"/>
        </w:rPr>
        <w:t xml:space="preserve">capitation </w:t>
      </w:r>
      <w:r w:rsidRPr="007B5933">
        <w:rPr>
          <w:rFonts w:asciiTheme="minorHAnsi" w:hAnsiTheme="minorHAnsi"/>
        </w:rPr>
        <w:t xml:space="preserve">amount </w:t>
      </w:r>
      <w:r w:rsidR="00631864" w:rsidRPr="007B5933">
        <w:rPr>
          <w:rFonts w:asciiTheme="minorHAnsi" w:hAnsiTheme="minorHAnsi"/>
        </w:rPr>
        <w:t xml:space="preserve">and if the capitation is uniform or varies by age, </w:t>
      </w:r>
      <w:r w:rsidR="00AF4B82" w:rsidRPr="007B5933">
        <w:rPr>
          <w:rFonts w:asciiTheme="minorHAnsi" w:hAnsiTheme="minorHAnsi"/>
        </w:rPr>
        <w:t>for the experience period</w:t>
      </w:r>
      <w:r w:rsidR="00631864" w:rsidRPr="007B5933">
        <w:rPr>
          <w:rFonts w:asciiTheme="minorHAnsi" w:hAnsiTheme="minorHAnsi"/>
        </w:rPr>
        <w:t xml:space="preserve">.  </w:t>
      </w:r>
    </w:p>
    <w:p w14:paraId="302B098D" w14:textId="77777777" w:rsidR="007B5933" w:rsidRDefault="007B5933" w:rsidP="007E6C90">
      <w:pPr>
        <w:pStyle w:val="ListParagraph"/>
        <w:numPr>
          <w:ilvl w:val="0"/>
          <w:numId w:val="12"/>
        </w:numPr>
        <w:ind w:left="720"/>
        <w:rPr>
          <w:rFonts w:asciiTheme="minorHAnsi" w:hAnsiTheme="minorHAnsi"/>
        </w:rPr>
      </w:pPr>
      <w:r>
        <w:rPr>
          <w:rFonts w:asciiTheme="minorHAnsi" w:hAnsiTheme="minorHAnsi"/>
        </w:rPr>
        <w:t>I</w:t>
      </w:r>
      <w:r w:rsidR="00183B25" w:rsidRPr="007B5933">
        <w:rPr>
          <w:rFonts w:asciiTheme="minorHAnsi" w:hAnsiTheme="minorHAnsi"/>
        </w:rPr>
        <w:t xml:space="preserve">dentify and </w:t>
      </w:r>
      <w:r w:rsidR="00631864" w:rsidRPr="007B5933">
        <w:rPr>
          <w:rFonts w:asciiTheme="minorHAnsi" w:hAnsiTheme="minorHAnsi"/>
        </w:rPr>
        <w:t>discuss</w:t>
      </w:r>
      <w:r w:rsidR="009E08F4" w:rsidRPr="007B5933">
        <w:rPr>
          <w:rFonts w:asciiTheme="minorHAnsi" w:hAnsiTheme="minorHAnsi"/>
        </w:rPr>
        <w:t xml:space="preserve"> the impact of pharmacy rebates on the incurred claims</w:t>
      </w:r>
      <w:r w:rsidR="00AF4B82" w:rsidRPr="007B5933">
        <w:rPr>
          <w:rFonts w:asciiTheme="minorHAnsi" w:hAnsiTheme="minorHAnsi"/>
        </w:rPr>
        <w:t>.</w:t>
      </w:r>
    </w:p>
    <w:p w14:paraId="7E1A2E13" w14:textId="212B4513" w:rsidR="007B5933" w:rsidRDefault="007B5933" w:rsidP="007E6C90">
      <w:pPr>
        <w:pStyle w:val="ListParagraph"/>
        <w:numPr>
          <w:ilvl w:val="0"/>
          <w:numId w:val="12"/>
        </w:numPr>
        <w:ind w:left="720"/>
        <w:rPr>
          <w:rFonts w:asciiTheme="minorHAnsi" w:hAnsiTheme="minorHAnsi"/>
        </w:rPr>
      </w:pPr>
      <w:r>
        <w:rPr>
          <w:rFonts w:asciiTheme="minorHAnsi" w:hAnsiTheme="minorHAnsi"/>
        </w:rPr>
        <w:lastRenderedPageBreak/>
        <w:t>Discuss the development of the estimated risk adjustment and estimated reinsurance recoveries.</w:t>
      </w:r>
      <w:r w:rsidR="00E43213">
        <w:rPr>
          <w:rFonts w:asciiTheme="minorHAnsi" w:hAnsiTheme="minorHAnsi"/>
        </w:rPr>
        <w:t xml:space="preserve"> E</w:t>
      </w:r>
      <w:r w:rsidR="00E43213" w:rsidRPr="00E43213">
        <w:rPr>
          <w:rFonts w:asciiTheme="minorHAnsi" w:hAnsiTheme="minorHAnsi"/>
        </w:rPr>
        <w:t>stimated payment</w:t>
      </w:r>
      <w:r w:rsidR="00960D07">
        <w:rPr>
          <w:rFonts w:asciiTheme="minorHAnsi" w:hAnsiTheme="minorHAnsi"/>
        </w:rPr>
        <w:t>s into the risk adjustment program</w:t>
      </w:r>
      <w:r w:rsidR="00E43213" w:rsidRPr="00E43213">
        <w:rPr>
          <w:rFonts w:asciiTheme="minorHAnsi" w:hAnsiTheme="minorHAnsi"/>
        </w:rPr>
        <w:t xml:space="preserve"> should be entered as a negative number and estimated recover</w:t>
      </w:r>
      <w:r w:rsidR="00960D07">
        <w:rPr>
          <w:rFonts w:asciiTheme="minorHAnsi" w:hAnsiTheme="minorHAnsi"/>
        </w:rPr>
        <w:t>ies</w:t>
      </w:r>
      <w:r w:rsidR="00E43213" w:rsidRPr="00E43213">
        <w:rPr>
          <w:rFonts w:asciiTheme="minorHAnsi" w:hAnsiTheme="minorHAnsi"/>
        </w:rPr>
        <w:t xml:space="preserve"> </w:t>
      </w:r>
      <w:r w:rsidR="00960D07">
        <w:rPr>
          <w:rFonts w:asciiTheme="minorHAnsi" w:hAnsiTheme="minorHAnsi"/>
        </w:rPr>
        <w:t xml:space="preserve">from the risk adjustment program </w:t>
      </w:r>
      <w:r w:rsidR="00E43213" w:rsidRPr="00E43213">
        <w:rPr>
          <w:rFonts w:asciiTheme="minorHAnsi" w:hAnsiTheme="minorHAnsi"/>
        </w:rPr>
        <w:t>should be entered as a positive number</w:t>
      </w:r>
      <w:r w:rsidR="00E43213">
        <w:rPr>
          <w:rFonts w:asciiTheme="minorHAnsi" w:hAnsiTheme="minorHAnsi"/>
        </w:rPr>
        <w:t>.</w:t>
      </w:r>
    </w:p>
    <w:p w14:paraId="4D669686" w14:textId="77777777" w:rsidR="006B4A8E" w:rsidRDefault="006B4A8E" w:rsidP="007E6C90">
      <w:pPr>
        <w:pStyle w:val="ListParagraph"/>
        <w:numPr>
          <w:ilvl w:val="0"/>
          <w:numId w:val="12"/>
        </w:numPr>
        <w:ind w:left="720"/>
        <w:rPr>
          <w:rFonts w:asciiTheme="minorHAnsi" w:hAnsiTheme="minorHAnsi"/>
        </w:rPr>
      </w:pPr>
      <w:r>
        <w:rPr>
          <w:rFonts w:asciiTheme="minorHAnsi" w:hAnsiTheme="minorHAnsi"/>
        </w:rPr>
        <w:t>The loss ratio is auto-calculated.</w:t>
      </w:r>
    </w:p>
    <w:p w14:paraId="73A963D3" w14:textId="77777777" w:rsidR="00631864" w:rsidRPr="00BA64B4" w:rsidRDefault="00631864" w:rsidP="00500B1B">
      <w:pPr>
        <w:pStyle w:val="Heading2"/>
        <w:rPr>
          <w:rFonts w:asciiTheme="minorHAnsi" w:hAnsiTheme="minorHAnsi"/>
        </w:rPr>
      </w:pPr>
      <w:bookmarkStart w:id="159" w:name="_Toc440553967"/>
      <w:bookmarkStart w:id="160" w:name="_Toc440555409"/>
      <w:bookmarkStart w:id="161" w:name="_Toc440555586"/>
      <w:bookmarkStart w:id="162" w:name="_Toc440555650"/>
      <w:bookmarkStart w:id="163" w:name="_Toc474316432"/>
      <w:r w:rsidRPr="00BA64B4">
        <w:rPr>
          <w:rFonts w:asciiTheme="minorHAnsi" w:hAnsiTheme="minorHAnsi"/>
        </w:rPr>
        <w:t xml:space="preserve">Credibility of </w:t>
      </w:r>
      <w:r w:rsidR="00A75C2B">
        <w:rPr>
          <w:rFonts w:asciiTheme="minorHAnsi" w:hAnsiTheme="minorHAnsi"/>
        </w:rPr>
        <w:t>D</w:t>
      </w:r>
      <w:r w:rsidRPr="00BA64B4">
        <w:rPr>
          <w:rFonts w:asciiTheme="minorHAnsi" w:hAnsiTheme="minorHAnsi"/>
        </w:rPr>
        <w:t>ata</w:t>
      </w:r>
      <w:bookmarkEnd w:id="159"/>
      <w:bookmarkEnd w:id="160"/>
      <w:bookmarkEnd w:id="161"/>
      <w:bookmarkEnd w:id="162"/>
      <w:r w:rsidR="00DF34DE">
        <w:rPr>
          <w:rFonts w:asciiTheme="minorHAnsi" w:hAnsiTheme="minorHAnsi"/>
        </w:rPr>
        <w:t xml:space="preserve"> </w:t>
      </w:r>
      <w:r w:rsidR="00DF34DE" w:rsidRPr="00DF34DE">
        <w:rPr>
          <w:rFonts w:asciiTheme="minorHAnsi" w:hAnsiTheme="minorHAnsi"/>
        </w:rPr>
        <w:t>(Table</w:t>
      </w:r>
      <w:r w:rsidR="00DF34DE">
        <w:rPr>
          <w:rFonts w:asciiTheme="minorHAnsi" w:hAnsiTheme="minorHAnsi"/>
        </w:rPr>
        <w:t>s</w:t>
      </w:r>
      <w:r w:rsidR="00DF34DE" w:rsidRPr="00DF34DE">
        <w:rPr>
          <w:rFonts w:asciiTheme="minorHAnsi" w:hAnsiTheme="minorHAnsi"/>
        </w:rPr>
        <w:t xml:space="preserve"> </w:t>
      </w:r>
      <w:r w:rsidR="00DF34DE">
        <w:rPr>
          <w:rFonts w:asciiTheme="minorHAnsi" w:hAnsiTheme="minorHAnsi"/>
        </w:rPr>
        <w:t>2b, 3b, 4b</w:t>
      </w:r>
      <w:r w:rsidR="00DF34DE" w:rsidRPr="00DF34DE">
        <w:rPr>
          <w:rFonts w:asciiTheme="minorHAnsi" w:hAnsiTheme="minorHAnsi"/>
        </w:rPr>
        <w:t>)</w:t>
      </w:r>
      <w:bookmarkEnd w:id="163"/>
    </w:p>
    <w:p w14:paraId="44678AFD" w14:textId="77777777" w:rsidR="00BC7251" w:rsidRPr="00BA64B4" w:rsidRDefault="00631864" w:rsidP="00536888">
      <w:pPr>
        <w:rPr>
          <w:rFonts w:asciiTheme="minorHAnsi" w:hAnsiTheme="minorHAnsi"/>
        </w:rPr>
      </w:pPr>
      <w:r w:rsidRPr="00BA64B4">
        <w:rPr>
          <w:rFonts w:asciiTheme="minorHAnsi" w:hAnsiTheme="minorHAnsi"/>
        </w:rPr>
        <w:t xml:space="preserve">Provide </w:t>
      </w:r>
      <w:r w:rsidR="00BC7251" w:rsidRPr="00BA64B4">
        <w:rPr>
          <w:rFonts w:asciiTheme="minorHAnsi" w:hAnsiTheme="minorHAnsi"/>
        </w:rPr>
        <w:t xml:space="preserve">a </w:t>
      </w:r>
      <w:r w:rsidRPr="00BA64B4">
        <w:rPr>
          <w:rFonts w:asciiTheme="minorHAnsi" w:hAnsiTheme="minorHAnsi"/>
        </w:rPr>
        <w:t>narrative regarding the credibility of the data</w:t>
      </w:r>
      <w:r w:rsidR="008B078F" w:rsidRPr="00BA64B4">
        <w:rPr>
          <w:rFonts w:asciiTheme="minorHAnsi" w:hAnsiTheme="minorHAnsi"/>
        </w:rPr>
        <w:t xml:space="preserve"> and provide the credibility formula</w:t>
      </w:r>
      <w:r w:rsidR="00693455" w:rsidRPr="00BA64B4">
        <w:rPr>
          <w:rFonts w:asciiTheme="minorHAnsi" w:hAnsiTheme="minorHAnsi"/>
        </w:rPr>
        <w:t xml:space="preserve"> and </w:t>
      </w:r>
      <w:r w:rsidR="008005BD" w:rsidRPr="00BA64B4">
        <w:rPr>
          <w:rFonts w:asciiTheme="minorHAnsi" w:hAnsiTheme="minorHAnsi"/>
        </w:rPr>
        <w:t>methodology</w:t>
      </w:r>
      <w:r w:rsidRPr="00BA64B4">
        <w:rPr>
          <w:rFonts w:asciiTheme="minorHAnsi" w:hAnsiTheme="minorHAnsi"/>
        </w:rPr>
        <w:t xml:space="preserve">.  </w:t>
      </w:r>
      <w:r w:rsidR="006E055A" w:rsidRPr="00BA64B4">
        <w:rPr>
          <w:rFonts w:asciiTheme="minorHAnsi" w:hAnsiTheme="minorHAnsi"/>
        </w:rPr>
        <w:t xml:space="preserve"> </w:t>
      </w:r>
    </w:p>
    <w:p w14:paraId="534BF722" w14:textId="77777777" w:rsidR="00BC7251" w:rsidRPr="00BA64B4" w:rsidRDefault="00BC7251" w:rsidP="00536888">
      <w:pPr>
        <w:rPr>
          <w:rFonts w:asciiTheme="minorHAnsi" w:hAnsiTheme="minorHAnsi"/>
        </w:rPr>
      </w:pPr>
    </w:p>
    <w:p w14:paraId="2454AA6C" w14:textId="14059C7B" w:rsidR="009F01C2" w:rsidRPr="009F01C2" w:rsidRDefault="00631864" w:rsidP="009F01C2">
      <w:pPr>
        <w:rPr>
          <w:rFonts w:asciiTheme="minorHAnsi" w:hAnsiTheme="minorHAnsi"/>
        </w:rPr>
      </w:pPr>
      <w:r w:rsidRPr="009F01C2">
        <w:rPr>
          <w:rFonts w:asciiTheme="minorHAnsi" w:hAnsiTheme="minorHAnsi"/>
        </w:rPr>
        <w:t xml:space="preserve">If the experience data is not 100% credible, discuss and provide the </w:t>
      </w:r>
      <w:r w:rsidR="00D830F1" w:rsidRPr="009F01C2">
        <w:rPr>
          <w:rFonts w:asciiTheme="minorHAnsi" w:hAnsiTheme="minorHAnsi"/>
        </w:rPr>
        <w:t xml:space="preserve">manual </w:t>
      </w:r>
      <w:r w:rsidRPr="009F01C2">
        <w:rPr>
          <w:rFonts w:asciiTheme="minorHAnsi" w:hAnsiTheme="minorHAnsi"/>
        </w:rPr>
        <w:t xml:space="preserve">data </w:t>
      </w:r>
      <w:r w:rsidR="00F00B43" w:rsidRPr="009F01C2">
        <w:rPr>
          <w:rFonts w:asciiTheme="minorHAnsi" w:hAnsiTheme="minorHAnsi"/>
        </w:rPr>
        <w:t>(</w:t>
      </w:r>
      <w:r w:rsidR="00E660E1" w:rsidRPr="009F01C2">
        <w:rPr>
          <w:rFonts w:asciiTheme="minorHAnsi" w:hAnsiTheme="minorHAnsi"/>
        </w:rPr>
        <w:t>as</w:t>
      </w:r>
      <w:r w:rsidR="00F00B43" w:rsidRPr="009F01C2">
        <w:rPr>
          <w:rFonts w:asciiTheme="minorHAnsi" w:hAnsiTheme="minorHAnsi"/>
        </w:rPr>
        <w:t xml:space="preserve"> </w:t>
      </w:r>
      <w:r w:rsidR="008005BD" w:rsidRPr="009F01C2">
        <w:rPr>
          <w:rFonts w:asciiTheme="minorHAnsi" w:hAnsiTheme="minorHAnsi"/>
        </w:rPr>
        <w:t>t</w:t>
      </w:r>
      <w:r w:rsidR="00F00B43" w:rsidRPr="009F01C2">
        <w:rPr>
          <w:rFonts w:asciiTheme="minorHAnsi" w:hAnsiTheme="minorHAnsi"/>
        </w:rPr>
        <w:t>able</w:t>
      </w:r>
      <w:r w:rsidR="00E660E1" w:rsidRPr="009F01C2">
        <w:rPr>
          <w:rFonts w:asciiTheme="minorHAnsi" w:hAnsiTheme="minorHAnsi"/>
        </w:rPr>
        <w:t>s</w:t>
      </w:r>
      <w:r w:rsidR="00F00B43" w:rsidRPr="009F01C2">
        <w:rPr>
          <w:rFonts w:asciiTheme="minorHAnsi" w:hAnsiTheme="minorHAnsi"/>
        </w:rPr>
        <w:t xml:space="preserve"> </w:t>
      </w:r>
      <w:r w:rsidR="004949C2" w:rsidRPr="009F01C2">
        <w:rPr>
          <w:rFonts w:asciiTheme="minorHAnsi" w:hAnsiTheme="minorHAnsi"/>
        </w:rPr>
        <w:t>2</w:t>
      </w:r>
      <w:r w:rsidR="000C7856" w:rsidRPr="009F01C2">
        <w:rPr>
          <w:rFonts w:asciiTheme="minorHAnsi" w:hAnsiTheme="minorHAnsi"/>
        </w:rPr>
        <w:t xml:space="preserve">b, </w:t>
      </w:r>
      <w:r w:rsidR="004949C2" w:rsidRPr="009F01C2">
        <w:rPr>
          <w:rFonts w:asciiTheme="minorHAnsi" w:hAnsiTheme="minorHAnsi"/>
        </w:rPr>
        <w:t>3</w:t>
      </w:r>
      <w:r w:rsidR="00E660E1" w:rsidRPr="009F01C2">
        <w:rPr>
          <w:rFonts w:asciiTheme="minorHAnsi" w:hAnsiTheme="minorHAnsi"/>
        </w:rPr>
        <w:t>b</w:t>
      </w:r>
      <w:r w:rsidR="00B452BE" w:rsidRPr="009F01C2">
        <w:rPr>
          <w:rFonts w:asciiTheme="minorHAnsi" w:hAnsiTheme="minorHAnsi"/>
        </w:rPr>
        <w:t xml:space="preserve">, </w:t>
      </w:r>
      <w:r w:rsidR="000C7856" w:rsidRPr="009F01C2">
        <w:rPr>
          <w:rFonts w:asciiTheme="minorHAnsi" w:hAnsiTheme="minorHAnsi"/>
        </w:rPr>
        <w:t xml:space="preserve">and </w:t>
      </w:r>
      <w:r w:rsidR="004949C2" w:rsidRPr="009F01C2">
        <w:rPr>
          <w:rFonts w:asciiTheme="minorHAnsi" w:hAnsiTheme="minorHAnsi"/>
        </w:rPr>
        <w:t>4</w:t>
      </w:r>
      <w:r w:rsidR="00E660E1" w:rsidRPr="009F01C2">
        <w:rPr>
          <w:rFonts w:asciiTheme="minorHAnsi" w:hAnsiTheme="minorHAnsi"/>
        </w:rPr>
        <w:t>b</w:t>
      </w:r>
      <w:r w:rsidR="00F00B43" w:rsidRPr="009F01C2">
        <w:rPr>
          <w:rFonts w:asciiTheme="minorHAnsi" w:hAnsiTheme="minorHAnsi"/>
        </w:rPr>
        <w:t xml:space="preserve">) </w:t>
      </w:r>
      <w:r w:rsidRPr="009F01C2">
        <w:rPr>
          <w:rFonts w:asciiTheme="minorHAnsi" w:hAnsiTheme="minorHAnsi"/>
        </w:rPr>
        <w:t xml:space="preserve">and source used for the manual rate.  </w:t>
      </w:r>
      <w:r w:rsidR="00E93872" w:rsidRPr="009F01C2">
        <w:rPr>
          <w:rFonts w:asciiTheme="minorHAnsi" w:hAnsiTheme="minorHAnsi"/>
        </w:rPr>
        <w:t xml:space="preserve">Provide a justification as to why the experience period data is not </w:t>
      </w:r>
      <w:r w:rsidR="00985FED" w:rsidRPr="009F01C2">
        <w:rPr>
          <w:rFonts w:asciiTheme="minorHAnsi" w:hAnsiTheme="minorHAnsi"/>
        </w:rPr>
        <w:t xml:space="preserve">fully </w:t>
      </w:r>
      <w:r w:rsidR="00E93872" w:rsidRPr="009F01C2">
        <w:rPr>
          <w:rFonts w:asciiTheme="minorHAnsi" w:hAnsiTheme="minorHAnsi"/>
        </w:rPr>
        <w:t xml:space="preserve">credible. </w:t>
      </w:r>
      <w:r w:rsidR="00F00B43" w:rsidRPr="009F01C2">
        <w:rPr>
          <w:rFonts w:asciiTheme="minorHAnsi" w:hAnsiTheme="minorHAnsi"/>
        </w:rPr>
        <w:t>A</w:t>
      </w:r>
      <w:r w:rsidRPr="009F01C2">
        <w:rPr>
          <w:rFonts w:asciiTheme="minorHAnsi" w:hAnsiTheme="minorHAnsi"/>
        </w:rPr>
        <w:t>ll adjustments and assumptions</w:t>
      </w:r>
      <w:r w:rsidR="00F00B43" w:rsidRPr="009F01C2">
        <w:rPr>
          <w:rFonts w:asciiTheme="minorHAnsi" w:hAnsiTheme="minorHAnsi"/>
        </w:rPr>
        <w:t xml:space="preserve"> must be shown</w:t>
      </w:r>
      <w:r w:rsidR="00B452BE" w:rsidRPr="009F01C2">
        <w:rPr>
          <w:rFonts w:asciiTheme="minorHAnsi" w:hAnsiTheme="minorHAnsi"/>
        </w:rPr>
        <w:t xml:space="preserve"> and d</w:t>
      </w:r>
      <w:r w:rsidRPr="009F01C2">
        <w:rPr>
          <w:rFonts w:asciiTheme="minorHAnsi" w:hAnsiTheme="minorHAnsi"/>
        </w:rPr>
        <w:t xml:space="preserve">ata provided </w:t>
      </w:r>
      <w:r w:rsidR="00D67B83" w:rsidRPr="009F01C2">
        <w:rPr>
          <w:rFonts w:asciiTheme="minorHAnsi" w:hAnsiTheme="minorHAnsi"/>
        </w:rPr>
        <w:t>to support</w:t>
      </w:r>
      <w:r w:rsidRPr="009F01C2">
        <w:rPr>
          <w:rFonts w:asciiTheme="minorHAnsi" w:hAnsiTheme="minorHAnsi"/>
        </w:rPr>
        <w:t xml:space="preserve"> all adjustments and assumptions.</w:t>
      </w:r>
      <w:r w:rsidR="00B452BE" w:rsidRPr="009F01C2">
        <w:rPr>
          <w:rFonts w:asciiTheme="minorHAnsi" w:hAnsiTheme="minorHAnsi"/>
        </w:rPr>
        <w:t xml:space="preserve"> </w:t>
      </w:r>
      <w:r w:rsidR="00D830F1" w:rsidRPr="009F01C2">
        <w:rPr>
          <w:rFonts w:asciiTheme="minorHAnsi" w:hAnsiTheme="minorHAnsi"/>
        </w:rPr>
        <w:t>Table 5 has been revised to better accommodate the development of the credibility weighted Projected PMPM in cell D24 of Table 5</w:t>
      </w:r>
      <w:r w:rsidR="00675BF9" w:rsidRPr="009F01C2">
        <w:rPr>
          <w:rFonts w:asciiTheme="minorHAnsi" w:hAnsiTheme="minorHAnsi"/>
        </w:rPr>
        <w:t xml:space="preserve">.  See section </w:t>
      </w:r>
      <w:r w:rsidR="00A310FC">
        <w:rPr>
          <w:rFonts w:asciiTheme="minorHAnsi" w:hAnsiTheme="minorHAnsi"/>
        </w:rPr>
        <w:t>4</w:t>
      </w:r>
      <w:r w:rsidR="00675BF9" w:rsidRPr="009F01C2">
        <w:rPr>
          <w:rFonts w:asciiTheme="minorHAnsi" w:hAnsiTheme="minorHAnsi"/>
        </w:rPr>
        <w:t>.A.</w:t>
      </w:r>
      <w:r w:rsidR="00A310FC">
        <w:rPr>
          <w:rFonts w:asciiTheme="minorHAnsi" w:hAnsiTheme="minorHAnsi"/>
        </w:rPr>
        <w:t xml:space="preserve"> below</w:t>
      </w:r>
      <w:r w:rsidR="00675BF9" w:rsidRPr="009F01C2">
        <w:rPr>
          <w:rFonts w:asciiTheme="minorHAnsi" w:hAnsiTheme="minorHAnsi"/>
        </w:rPr>
        <w:t xml:space="preserve"> for instructions. </w:t>
      </w:r>
    </w:p>
    <w:p w14:paraId="5F1AA742" w14:textId="77777777" w:rsidR="00894832" w:rsidRPr="00BA64B4" w:rsidRDefault="00894832" w:rsidP="00500B1B">
      <w:pPr>
        <w:pStyle w:val="Heading2"/>
        <w:rPr>
          <w:rFonts w:asciiTheme="minorHAnsi" w:hAnsiTheme="minorHAnsi"/>
        </w:rPr>
      </w:pPr>
      <w:bookmarkStart w:id="164" w:name="_Toc440553969"/>
      <w:bookmarkStart w:id="165" w:name="_Toc440555411"/>
      <w:bookmarkStart w:id="166" w:name="_Toc440555588"/>
      <w:bookmarkStart w:id="167" w:name="_Toc440555652"/>
      <w:bookmarkStart w:id="168" w:name="_Toc474316433"/>
      <w:r w:rsidRPr="00BA64B4">
        <w:rPr>
          <w:rFonts w:asciiTheme="minorHAnsi" w:hAnsiTheme="minorHAnsi"/>
        </w:rPr>
        <w:t>Trend Identification</w:t>
      </w:r>
      <w:bookmarkEnd w:id="164"/>
      <w:bookmarkEnd w:id="165"/>
      <w:bookmarkEnd w:id="166"/>
      <w:bookmarkEnd w:id="167"/>
      <w:r w:rsidR="00DF34DE">
        <w:rPr>
          <w:rFonts w:asciiTheme="minorHAnsi" w:hAnsiTheme="minorHAnsi"/>
        </w:rPr>
        <w:t xml:space="preserve"> </w:t>
      </w:r>
      <w:r w:rsidR="00DF34DE" w:rsidRPr="00DF34DE">
        <w:rPr>
          <w:rFonts w:asciiTheme="minorHAnsi" w:hAnsiTheme="minorHAnsi"/>
        </w:rPr>
        <w:t xml:space="preserve">(Table </w:t>
      </w:r>
      <w:r w:rsidR="00DF34DE">
        <w:rPr>
          <w:rFonts w:asciiTheme="minorHAnsi" w:hAnsiTheme="minorHAnsi"/>
        </w:rPr>
        <w:t>3</w:t>
      </w:r>
      <w:r w:rsidR="00DF34DE" w:rsidRPr="00DF34DE">
        <w:rPr>
          <w:rFonts w:asciiTheme="minorHAnsi" w:hAnsiTheme="minorHAnsi"/>
        </w:rPr>
        <w:t>)</w:t>
      </w:r>
      <w:bookmarkEnd w:id="168"/>
    </w:p>
    <w:p w14:paraId="1C8F6765" w14:textId="77777777" w:rsidR="00E93872" w:rsidRDefault="004949C2" w:rsidP="00B47CAC">
      <w:pPr>
        <w:rPr>
          <w:rFonts w:asciiTheme="minorHAnsi" w:hAnsiTheme="minorHAnsi"/>
        </w:rPr>
      </w:pPr>
      <w:r>
        <w:rPr>
          <w:rFonts w:asciiTheme="minorHAnsi" w:hAnsiTheme="minorHAnsi"/>
        </w:rPr>
        <w:t>In Table 3, i</w:t>
      </w:r>
      <w:r w:rsidR="007E2980" w:rsidRPr="00BA64B4">
        <w:rPr>
          <w:rFonts w:asciiTheme="minorHAnsi" w:hAnsiTheme="minorHAnsi"/>
        </w:rPr>
        <w:t xml:space="preserve">dentify </w:t>
      </w:r>
      <w:r w:rsidR="001633C9" w:rsidRPr="00BA64B4">
        <w:rPr>
          <w:rFonts w:asciiTheme="minorHAnsi" w:hAnsiTheme="minorHAnsi"/>
        </w:rPr>
        <w:t>the proposed</w:t>
      </w:r>
      <w:r w:rsidR="007E2980" w:rsidRPr="00BA64B4">
        <w:rPr>
          <w:rFonts w:asciiTheme="minorHAnsi" w:hAnsiTheme="minorHAnsi"/>
        </w:rPr>
        <w:t xml:space="preserve"> </w:t>
      </w:r>
      <w:r w:rsidR="00D563A7" w:rsidRPr="00BA64B4">
        <w:rPr>
          <w:rFonts w:asciiTheme="minorHAnsi" w:hAnsiTheme="minorHAnsi"/>
        </w:rPr>
        <w:t xml:space="preserve">annual </w:t>
      </w:r>
      <w:r w:rsidR="007E2980" w:rsidRPr="00BA64B4">
        <w:rPr>
          <w:rFonts w:asciiTheme="minorHAnsi" w:hAnsiTheme="minorHAnsi"/>
        </w:rPr>
        <w:t xml:space="preserve">medical and </w:t>
      </w:r>
      <w:r w:rsidR="00693455" w:rsidRPr="00BA64B4">
        <w:rPr>
          <w:rFonts w:asciiTheme="minorHAnsi" w:hAnsiTheme="minorHAnsi"/>
        </w:rPr>
        <w:t xml:space="preserve">prescription drug </w:t>
      </w:r>
      <w:r w:rsidR="007B69DD" w:rsidRPr="00BA64B4">
        <w:rPr>
          <w:rFonts w:asciiTheme="minorHAnsi" w:hAnsiTheme="minorHAnsi"/>
        </w:rPr>
        <w:t xml:space="preserve">allowed claims </w:t>
      </w:r>
      <w:r w:rsidR="001633C9" w:rsidRPr="00BA64B4">
        <w:rPr>
          <w:rFonts w:asciiTheme="minorHAnsi" w:hAnsiTheme="minorHAnsi"/>
        </w:rPr>
        <w:t>cost</w:t>
      </w:r>
      <w:r w:rsidR="007B69DD" w:rsidRPr="00BA64B4">
        <w:rPr>
          <w:rFonts w:asciiTheme="minorHAnsi" w:hAnsiTheme="minorHAnsi"/>
        </w:rPr>
        <w:t xml:space="preserve"> and </w:t>
      </w:r>
      <w:r w:rsidR="001633C9" w:rsidRPr="00BA64B4">
        <w:rPr>
          <w:rFonts w:asciiTheme="minorHAnsi" w:hAnsiTheme="minorHAnsi"/>
        </w:rPr>
        <w:t xml:space="preserve">utilization </w:t>
      </w:r>
      <w:r w:rsidR="007B69DD" w:rsidRPr="00BA64B4">
        <w:rPr>
          <w:rFonts w:asciiTheme="minorHAnsi" w:hAnsiTheme="minorHAnsi"/>
        </w:rPr>
        <w:t>trends</w:t>
      </w:r>
      <w:r w:rsidR="007E2980" w:rsidRPr="00BA64B4">
        <w:rPr>
          <w:rFonts w:asciiTheme="minorHAnsi" w:hAnsiTheme="minorHAnsi"/>
        </w:rPr>
        <w:t xml:space="preserve">. </w:t>
      </w:r>
      <w:r w:rsidR="00A14C88" w:rsidRPr="00BA64B4">
        <w:rPr>
          <w:rFonts w:asciiTheme="minorHAnsi" w:hAnsiTheme="minorHAnsi"/>
        </w:rPr>
        <w:t xml:space="preserve"> </w:t>
      </w:r>
      <w:r w:rsidR="007C0EF0" w:rsidRPr="00BA64B4">
        <w:rPr>
          <w:rFonts w:asciiTheme="minorHAnsi" w:hAnsiTheme="minorHAnsi"/>
        </w:rPr>
        <w:t xml:space="preserve">For an explanation of how the service categories, cost, and utilization in table </w:t>
      </w:r>
      <w:r>
        <w:rPr>
          <w:rFonts w:asciiTheme="minorHAnsi" w:hAnsiTheme="minorHAnsi"/>
        </w:rPr>
        <w:t>3</w:t>
      </w:r>
      <w:r w:rsidRPr="00BA64B4">
        <w:rPr>
          <w:rFonts w:asciiTheme="minorHAnsi" w:hAnsiTheme="minorHAnsi"/>
        </w:rPr>
        <w:t xml:space="preserve"> </w:t>
      </w:r>
      <w:r w:rsidR="007C0EF0" w:rsidRPr="00BA64B4">
        <w:rPr>
          <w:rFonts w:asciiTheme="minorHAnsi" w:hAnsiTheme="minorHAnsi"/>
        </w:rPr>
        <w:t xml:space="preserve">are defined, reference the URRT instructions. </w:t>
      </w:r>
    </w:p>
    <w:p w14:paraId="447E4E0E" w14:textId="77777777" w:rsidR="00E93872" w:rsidRDefault="00E93872" w:rsidP="00B47CAC">
      <w:pPr>
        <w:rPr>
          <w:rFonts w:asciiTheme="minorHAnsi" w:hAnsiTheme="minorHAnsi"/>
        </w:rPr>
      </w:pPr>
    </w:p>
    <w:p w14:paraId="3C854A0D" w14:textId="77777777" w:rsidR="007D0C98" w:rsidRDefault="00734E94" w:rsidP="00B47CAC">
      <w:pPr>
        <w:rPr>
          <w:rFonts w:asciiTheme="minorHAnsi" w:hAnsiTheme="minorHAnsi"/>
        </w:rPr>
      </w:pPr>
      <w:r>
        <w:rPr>
          <w:rFonts w:asciiTheme="minorHAnsi" w:hAnsiTheme="minorHAnsi"/>
        </w:rPr>
        <w:t xml:space="preserve">Table 3 has been revised to include a column for induced demand and a column for Composite URR Trend.  The </w:t>
      </w:r>
      <w:r w:rsidR="00DE1FBB">
        <w:rPr>
          <w:rFonts w:asciiTheme="minorHAnsi" w:hAnsiTheme="minorHAnsi"/>
        </w:rPr>
        <w:t xml:space="preserve">2017 </w:t>
      </w:r>
      <w:r>
        <w:rPr>
          <w:rFonts w:asciiTheme="minorHAnsi" w:hAnsiTheme="minorHAnsi"/>
        </w:rPr>
        <w:t xml:space="preserve">URR Instructions indicate that </w:t>
      </w:r>
      <w:r w:rsidR="00830E9B">
        <w:rPr>
          <w:rFonts w:asciiTheme="minorHAnsi" w:hAnsiTheme="minorHAnsi"/>
        </w:rPr>
        <w:t xml:space="preserve">the </w:t>
      </w:r>
      <w:r>
        <w:rPr>
          <w:rFonts w:asciiTheme="minorHAnsi" w:hAnsiTheme="minorHAnsi"/>
        </w:rPr>
        <w:t xml:space="preserve">utilization </w:t>
      </w:r>
      <w:r w:rsidR="00830E9B">
        <w:rPr>
          <w:rFonts w:asciiTheme="minorHAnsi" w:hAnsiTheme="minorHAnsi"/>
        </w:rPr>
        <w:t xml:space="preserve">trend </w:t>
      </w:r>
      <w:r>
        <w:rPr>
          <w:rFonts w:asciiTheme="minorHAnsi" w:hAnsiTheme="minorHAnsi"/>
        </w:rPr>
        <w:t>should include the impact of the change in induced demand</w:t>
      </w:r>
      <w:r w:rsidR="00830E9B">
        <w:rPr>
          <w:rFonts w:asciiTheme="minorHAnsi" w:hAnsiTheme="minorHAnsi"/>
        </w:rPr>
        <w:t xml:space="preserve"> related to product shifts</w:t>
      </w:r>
      <w:r>
        <w:rPr>
          <w:rFonts w:asciiTheme="minorHAnsi" w:hAnsiTheme="minorHAnsi"/>
        </w:rPr>
        <w:t xml:space="preserve">.  </w:t>
      </w:r>
      <w:r w:rsidR="00C977A9">
        <w:rPr>
          <w:rFonts w:asciiTheme="minorHAnsi" w:hAnsiTheme="minorHAnsi"/>
        </w:rPr>
        <w:t xml:space="preserve">The Department has </w:t>
      </w:r>
      <w:r w:rsidR="00E93872">
        <w:rPr>
          <w:rFonts w:asciiTheme="minorHAnsi" w:hAnsiTheme="minorHAnsi"/>
        </w:rPr>
        <w:t>separated</w:t>
      </w:r>
      <w:r w:rsidR="00C977A9">
        <w:rPr>
          <w:rFonts w:asciiTheme="minorHAnsi" w:hAnsiTheme="minorHAnsi"/>
        </w:rPr>
        <w:t xml:space="preserve"> the induced demand</w:t>
      </w:r>
      <w:r w:rsidR="00E93872">
        <w:rPr>
          <w:rFonts w:asciiTheme="minorHAnsi" w:hAnsiTheme="minorHAnsi"/>
        </w:rPr>
        <w:t xml:space="preserve"> trend from the utilization trend because</w:t>
      </w:r>
      <w:r w:rsidR="00C977A9">
        <w:rPr>
          <w:rFonts w:asciiTheme="minorHAnsi" w:hAnsiTheme="minorHAnsi"/>
        </w:rPr>
        <w:t xml:space="preserve"> </w:t>
      </w:r>
      <w:r w:rsidR="00E93872">
        <w:rPr>
          <w:rFonts w:asciiTheme="minorHAnsi" w:hAnsiTheme="minorHAnsi"/>
        </w:rPr>
        <w:t xml:space="preserve">it </w:t>
      </w:r>
      <w:r w:rsidR="00C977A9">
        <w:rPr>
          <w:rFonts w:asciiTheme="minorHAnsi" w:hAnsiTheme="minorHAnsi"/>
        </w:rPr>
        <w:t xml:space="preserve">may not be appropriate </w:t>
      </w:r>
      <w:r w:rsidR="00E93872">
        <w:rPr>
          <w:rFonts w:asciiTheme="minorHAnsi" w:hAnsiTheme="minorHAnsi"/>
        </w:rPr>
        <w:t xml:space="preserve">to include induced demand changes when </w:t>
      </w:r>
      <w:r w:rsidR="007D0C98">
        <w:rPr>
          <w:rFonts w:asciiTheme="minorHAnsi" w:hAnsiTheme="minorHAnsi"/>
        </w:rPr>
        <w:t>projecting</w:t>
      </w:r>
      <w:r w:rsidR="00C977A9">
        <w:rPr>
          <w:rFonts w:asciiTheme="minorHAnsi" w:hAnsiTheme="minorHAnsi"/>
        </w:rPr>
        <w:t xml:space="preserve"> </w:t>
      </w:r>
      <w:r w:rsidR="00DE1FBB">
        <w:rPr>
          <w:rFonts w:asciiTheme="minorHAnsi" w:hAnsiTheme="minorHAnsi"/>
        </w:rPr>
        <w:t xml:space="preserve">the </w:t>
      </w:r>
      <w:r w:rsidR="00C977A9">
        <w:rPr>
          <w:rFonts w:asciiTheme="minorHAnsi" w:hAnsiTheme="minorHAnsi"/>
        </w:rPr>
        <w:t xml:space="preserve">experience period </w:t>
      </w:r>
      <w:r w:rsidR="00E93872">
        <w:rPr>
          <w:rFonts w:asciiTheme="minorHAnsi" w:hAnsiTheme="minorHAnsi"/>
        </w:rPr>
        <w:t>utilization</w:t>
      </w:r>
      <w:r w:rsidR="00DE1FBB">
        <w:rPr>
          <w:rFonts w:asciiTheme="minorHAnsi" w:hAnsiTheme="minorHAnsi"/>
        </w:rPr>
        <w:t xml:space="preserve"> to the rate effective period</w:t>
      </w:r>
      <w:r w:rsidR="00A77AD4">
        <w:rPr>
          <w:rFonts w:asciiTheme="minorHAnsi" w:hAnsiTheme="minorHAnsi"/>
        </w:rPr>
        <w:t xml:space="preserve">, particularly </w:t>
      </w:r>
      <w:r w:rsidR="00DE1FBB">
        <w:rPr>
          <w:rFonts w:asciiTheme="minorHAnsi" w:hAnsiTheme="minorHAnsi"/>
        </w:rPr>
        <w:t>in small group</w:t>
      </w:r>
      <w:r w:rsidR="00A77AD4">
        <w:rPr>
          <w:rFonts w:asciiTheme="minorHAnsi" w:hAnsiTheme="minorHAnsi"/>
        </w:rPr>
        <w:t xml:space="preserve"> rating with quarterly trends</w:t>
      </w:r>
      <w:r w:rsidR="00DE1FBB">
        <w:rPr>
          <w:rFonts w:asciiTheme="minorHAnsi" w:hAnsiTheme="minorHAnsi"/>
        </w:rPr>
        <w:t xml:space="preserve">.   If the issuer </w:t>
      </w:r>
      <w:r w:rsidR="00E93872">
        <w:rPr>
          <w:rFonts w:asciiTheme="minorHAnsi" w:hAnsiTheme="minorHAnsi"/>
        </w:rPr>
        <w:t>does not project</w:t>
      </w:r>
      <w:r w:rsidR="00DE1FBB">
        <w:rPr>
          <w:rFonts w:asciiTheme="minorHAnsi" w:hAnsiTheme="minorHAnsi"/>
        </w:rPr>
        <w:t xml:space="preserve"> any changes in induced demand related to product shifts, you may enter “1.00”</w:t>
      </w:r>
      <w:r w:rsidR="00A77AD4">
        <w:rPr>
          <w:rFonts w:asciiTheme="minorHAnsi" w:hAnsiTheme="minorHAnsi"/>
        </w:rPr>
        <w:t xml:space="preserve"> in the Induced Demand column for </w:t>
      </w:r>
      <w:r w:rsidR="00DE1FBB">
        <w:rPr>
          <w:rFonts w:asciiTheme="minorHAnsi" w:hAnsiTheme="minorHAnsi"/>
        </w:rPr>
        <w:t xml:space="preserve">each benefit category.  In this instance, the Composite URR Trend will be identical to the Composite Trend Pricing.  </w:t>
      </w:r>
      <w:r w:rsidR="00A77AD4">
        <w:rPr>
          <w:rFonts w:asciiTheme="minorHAnsi" w:hAnsiTheme="minorHAnsi"/>
        </w:rPr>
        <w:t xml:space="preserve"> </w:t>
      </w:r>
    </w:p>
    <w:p w14:paraId="60769BD4" w14:textId="77777777" w:rsidR="007D0C98" w:rsidRDefault="007D0C98" w:rsidP="00B47CAC">
      <w:pPr>
        <w:rPr>
          <w:rFonts w:asciiTheme="minorHAnsi" w:hAnsiTheme="minorHAnsi"/>
        </w:rPr>
      </w:pPr>
    </w:p>
    <w:p w14:paraId="4144FC51" w14:textId="69DDDE0F" w:rsidR="00B86A31" w:rsidRPr="00BA64B4" w:rsidRDefault="00A77AD4" w:rsidP="00B47CAC">
      <w:pPr>
        <w:rPr>
          <w:rFonts w:asciiTheme="minorHAnsi" w:hAnsiTheme="minorHAnsi"/>
        </w:rPr>
      </w:pPr>
      <w:r>
        <w:rPr>
          <w:rFonts w:asciiTheme="minorHAnsi" w:hAnsiTheme="minorHAnsi"/>
        </w:rPr>
        <w:t xml:space="preserve">Please note, the Composite URR Trend is not used in </w:t>
      </w:r>
      <w:r w:rsidR="007D0C98">
        <w:rPr>
          <w:rFonts w:asciiTheme="minorHAnsi" w:hAnsiTheme="minorHAnsi"/>
        </w:rPr>
        <w:t xml:space="preserve">Table 5 to </w:t>
      </w:r>
      <w:r>
        <w:rPr>
          <w:rFonts w:asciiTheme="minorHAnsi" w:hAnsiTheme="minorHAnsi"/>
        </w:rPr>
        <w:t>project the experience period data to the rating period</w:t>
      </w:r>
      <w:r w:rsidR="007D0C98">
        <w:rPr>
          <w:rFonts w:asciiTheme="minorHAnsi" w:hAnsiTheme="minorHAnsi"/>
        </w:rPr>
        <w:t>;</w:t>
      </w:r>
      <w:r w:rsidR="006A67A2">
        <w:rPr>
          <w:rFonts w:asciiTheme="minorHAnsi" w:hAnsiTheme="minorHAnsi"/>
        </w:rPr>
        <w:t xml:space="preserve"> only the Composite Pricing Trend</w:t>
      </w:r>
      <w:r w:rsidR="007D0C98">
        <w:rPr>
          <w:rFonts w:asciiTheme="minorHAnsi" w:hAnsiTheme="minorHAnsi"/>
        </w:rPr>
        <w:t xml:space="preserve"> is used</w:t>
      </w:r>
      <w:r>
        <w:rPr>
          <w:rFonts w:asciiTheme="minorHAnsi" w:hAnsiTheme="minorHAnsi"/>
        </w:rPr>
        <w:t xml:space="preserve">.  </w:t>
      </w:r>
      <w:r w:rsidR="005F69DB">
        <w:rPr>
          <w:rFonts w:asciiTheme="minorHAnsi" w:hAnsiTheme="minorHAnsi"/>
        </w:rPr>
        <w:t>While t</w:t>
      </w:r>
      <w:r w:rsidR="007B69DD" w:rsidRPr="00BA64B4">
        <w:rPr>
          <w:rFonts w:asciiTheme="minorHAnsi" w:hAnsiTheme="minorHAnsi"/>
        </w:rPr>
        <w:t xml:space="preserve">he numbers entered </w:t>
      </w:r>
      <w:r w:rsidR="00FE0D29" w:rsidRPr="00BA64B4">
        <w:rPr>
          <w:rFonts w:asciiTheme="minorHAnsi" w:hAnsiTheme="minorHAnsi"/>
        </w:rPr>
        <w:t>in the Utilization column</w:t>
      </w:r>
      <w:r w:rsidR="007B69DD" w:rsidRPr="00BA64B4">
        <w:rPr>
          <w:rFonts w:asciiTheme="minorHAnsi" w:hAnsiTheme="minorHAnsi"/>
        </w:rPr>
        <w:t xml:space="preserve"> </w:t>
      </w:r>
      <w:r>
        <w:rPr>
          <w:rFonts w:asciiTheme="minorHAnsi" w:hAnsiTheme="minorHAnsi"/>
        </w:rPr>
        <w:t xml:space="preserve">may not </w:t>
      </w:r>
      <w:r w:rsidR="007B69DD" w:rsidRPr="00BA64B4">
        <w:rPr>
          <w:rFonts w:asciiTheme="minorHAnsi" w:hAnsiTheme="minorHAnsi"/>
        </w:rPr>
        <w:t xml:space="preserve">match </w:t>
      </w:r>
      <w:r w:rsidR="005F69DB">
        <w:rPr>
          <w:rFonts w:asciiTheme="minorHAnsi" w:hAnsiTheme="minorHAnsi"/>
        </w:rPr>
        <w:t>the number</w:t>
      </w:r>
      <w:r w:rsidR="005F69DB" w:rsidRPr="00BA64B4">
        <w:rPr>
          <w:rFonts w:asciiTheme="minorHAnsi" w:hAnsiTheme="minorHAnsi"/>
        </w:rPr>
        <w:t xml:space="preserve"> </w:t>
      </w:r>
      <w:r w:rsidR="007B69DD" w:rsidRPr="00BA64B4">
        <w:rPr>
          <w:rFonts w:asciiTheme="minorHAnsi" w:hAnsiTheme="minorHAnsi"/>
        </w:rPr>
        <w:t>entered in Worksheet I, Section 2 of the URRT</w:t>
      </w:r>
      <w:r w:rsidR="005F69DB">
        <w:rPr>
          <w:rFonts w:asciiTheme="minorHAnsi" w:hAnsiTheme="minorHAnsi"/>
        </w:rPr>
        <w:t xml:space="preserve"> since the Department requires a separate input for Induced Demand, the aggregate URR Trend reported in Worksheet I, Section 2 of the URRT should match the Composite URR Trend in Table 3 of the Department’s Guidance</w:t>
      </w:r>
      <w:r w:rsidR="007B69DD" w:rsidRPr="00BA64B4">
        <w:rPr>
          <w:rFonts w:asciiTheme="minorHAnsi" w:hAnsiTheme="minorHAnsi"/>
        </w:rPr>
        <w:t xml:space="preserve">. </w:t>
      </w:r>
      <w:r w:rsidR="007C0EF0" w:rsidRPr="00BA64B4">
        <w:rPr>
          <w:rFonts w:asciiTheme="minorHAnsi" w:hAnsiTheme="minorHAnsi"/>
        </w:rPr>
        <w:t xml:space="preserve">The Composite number entered for Capitation should match the product of the Cost and Utilization entries for Capitation in Worksheet I, Section 2 of the URRT. </w:t>
      </w:r>
    </w:p>
    <w:p w14:paraId="0E908346" w14:textId="77777777" w:rsidR="00B86A31" w:rsidRPr="00BA64B4" w:rsidRDefault="00B86A31" w:rsidP="00B47CAC">
      <w:pPr>
        <w:rPr>
          <w:rFonts w:asciiTheme="minorHAnsi" w:hAnsiTheme="minorHAnsi"/>
        </w:rPr>
      </w:pPr>
    </w:p>
    <w:p w14:paraId="5908D1B8" w14:textId="77777777" w:rsidR="007E6C90" w:rsidRDefault="00AC4EF7" w:rsidP="00B47CAC">
      <w:pPr>
        <w:rPr>
          <w:rFonts w:asciiTheme="minorHAnsi" w:hAnsiTheme="minorHAnsi"/>
        </w:rPr>
      </w:pPr>
      <w:r w:rsidRPr="007E6C90">
        <w:rPr>
          <w:rFonts w:asciiTheme="minorHAnsi" w:hAnsiTheme="minorHAnsi"/>
        </w:rPr>
        <w:t>D</w:t>
      </w:r>
      <w:r w:rsidR="00A14C88" w:rsidRPr="007E6C90">
        <w:rPr>
          <w:rFonts w:asciiTheme="minorHAnsi" w:hAnsiTheme="minorHAnsi"/>
        </w:rPr>
        <w:t xml:space="preserve">iscuss </w:t>
      </w:r>
      <w:r w:rsidR="009137B7" w:rsidRPr="007E6C90">
        <w:rPr>
          <w:rFonts w:asciiTheme="minorHAnsi" w:hAnsiTheme="minorHAnsi"/>
        </w:rPr>
        <w:t>the basis for the trend</w:t>
      </w:r>
      <w:r w:rsidR="003D193D" w:rsidRPr="007E6C90">
        <w:rPr>
          <w:rFonts w:asciiTheme="minorHAnsi" w:hAnsiTheme="minorHAnsi"/>
        </w:rPr>
        <w:t xml:space="preserve">, </w:t>
      </w:r>
      <w:r w:rsidR="009137B7" w:rsidRPr="007E6C90">
        <w:rPr>
          <w:rFonts w:asciiTheme="minorHAnsi" w:hAnsiTheme="minorHAnsi"/>
        </w:rPr>
        <w:t>provide justification for each service category</w:t>
      </w:r>
      <w:r w:rsidR="003D193D" w:rsidRPr="007E6C90">
        <w:rPr>
          <w:rFonts w:asciiTheme="minorHAnsi" w:hAnsiTheme="minorHAnsi"/>
        </w:rPr>
        <w:t xml:space="preserve"> and show the weights </w:t>
      </w:r>
      <w:r w:rsidR="00B22C88" w:rsidRPr="007E6C90">
        <w:rPr>
          <w:rFonts w:asciiTheme="minorHAnsi" w:hAnsiTheme="minorHAnsi"/>
        </w:rPr>
        <w:t xml:space="preserve">used in the development of </w:t>
      </w:r>
      <w:r w:rsidR="003D193D" w:rsidRPr="007E6C90">
        <w:rPr>
          <w:rFonts w:asciiTheme="minorHAnsi" w:hAnsiTheme="minorHAnsi"/>
        </w:rPr>
        <w:t xml:space="preserve">the </w:t>
      </w:r>
      <w:r w:rsidR="00693455" w:rsidRPr="007E6C90">
        <w:rPr>
          <w:rFonts w:asciiTheme="minorHAnsi" w:hAnsiTheme="minorHAnsi"/>
        </w:rPr>
        <w:t xml:space="preserve">total </w:t>
      </w:r>
      <w:r w:rsidR="003D193D" w:rsidRPr="007E6C90">
        <w:rPr>
          <w:rFonts w:asciiTheme="minorHAnsi" w:hAnsiTheme="minorHAnsi"/>
        </w:rPr>
        <w:t>composite trend</w:t>
      </w:r>
      <w:r w:rsidR="009137B7" w:rsidRPr="007E6C90">
        <w:rPr>
          <w:rFonts w:asciiTheme="minorHAnsi" w:hAnsiTheme="minorHAnsi"/>
        </w:rPr>
        <w:t xml:space="preserve">.  </w:t>
      </w:r>
      <w:r w:rsidR="007E6C90" w:rsidRPr="007E6C90">
        <w:rPr>
          <w:rFonts w:asciiTheme="minorHAnsi" w:hAnsiTheme="minorHAnsi"/>
        </w:rPr>
        <w:t xml:space="preserve">Disclose the data source and all assumptions and adjustments. </w:t>
      </w:r>
    </w:p>
    <w:p w14:paraId="42627003" w14:textId="77777777" w:rsidR="007E6C90" w:rsidRDefault="007E6C90" w:rsidP="00A63B50">
      <w:pPr>
        <w:pStyle w:val="ListParagraph"/>
        <w:numPr>
          <w:ilvl w:val="0"/>
          <w:numId w:val="18"/>
        </w:numPr>
        <w:rPr>
          <w:rFonts w:asciiTheme="minorHAnsi" w:hAnsiTheme="minorHAnsi"/>
        </w:rPr>
      </w:pPr>
      <w:r w:rsidRPr="007E6C90">
        <w:rPr>
          <w:rFonts w:asciiTheme="minorHAnsi" w:hAnsiTheme="minorHAnsi"/>
        </w:rPr>
        <w:t xml:space="preserve">Show quantitatively the derivation of the trend assumptions for each benefit category in Table 3.  </w:t>
      </w:r>
    </w:p>
    <w:p w14:paraId="556FF9B5" w14:textId="77777777" w:rsidR="007E6C90" w:rsidRDefault="007E6C90" w:rsidP="00A63B50">
      <w:pPr>
        <w:pStyle w:val="ListParagraph"/>
        <w:numPr>
          <w:ilvl w:val="0"/>
          <w:numId w:val="18"/>
        </w:numPr>
        <w:rPr>
          <w:rFonts w:asciiTheme="minorHAnsi" w:hAnsiTheme="minorHAnsi"/>
        </w:rPr>
      </w:pPr>
      <w:r>
        <w:rPr>
          <w:rFonts w:asciiTheme="minorHAnsi" w:hAnsiTheme="minorHAnsi"/>
        </w:rPr>
        <w:t>P</w:t>
      </w:r>
      <w:r w:rsidRPr="007E6C90">
        <w:rPr>
          <w:rFonts w:asciiTheme="minorHAnsi" w:hAnsiTheme="minorHAnsi"/>
        </w:rPr>
        <w:t xml:space="preserve">rovide a detailed narrative that explains how this data was used in developing the trend, including all assumptions and adjustments.  </w:t>
      </w:r>
    </w:p>
    <w:p w14:paraId="43CB6DB2" w14:textId="77777777" w:rsidR="009137B7" w:rsidRPr="007E6C90" w:rsidRDefault="007E6C90" w:rsidP="00A63B50">
      <w:pPr>
        <w:pStyle w:val="ListParagraph"/>
        <w:numPr>
          <w:ilvl w:val="0"/>
          <w:numId w:val="18"/>
        </w:numPr>
        <w:rPr>
          <w:rFonts w:asciiTheme="minorHAnsi" w:hAnsiTheme="minorHAnsi"/>
        </w:rPr>
      </w:pPr>
      <w:r>
        <w:rPr>
          <w:rFonts w:asciiTheme="minorHAnsi" w:hAnsiTheme="minorHAnsi"/>
        </w:rPr>
        <w:t>D</w:t>
      </w:r>
      <w:r w:rsidR="00990E9C" w:rsidRPr="007E6C90">
        <w:rPr>
          <w:rFonts w:asciiTheme="minorHAnsi" w:hAnsiTheme="minorHAnsi"/>
        </w:rPr>
        <w:t>iscuss the impact of provider contracting and leveraging on trend.  The specific provider contracting agreement and amount may be redacted, but not aggregate amounts.</w:t>
      </w:r>
    </w:p>
    <w:p w14:paraId="6E3C1071" w14:textId="77777777" w:rsidR="00193AC3" w:rsidRPr="00BA64B4" w:rsidRDefault="00193AC3" w:rsidP="00B47CAC">
      <w:pPr>
        <w:rPr>
          <w:rFonts w:asciiTheme="minorHAnsi" w:hAnsiTheme="minorHAnsi"/>
        </w:rPr>
      </w:pPr>
    </w:p>
    <w:p w14:paraId="114FA388" w14:textId="77777777" w:rsidR="00C07654" w:rsidRPr="00BA64B4" w:rsidRDefault="00193AC3" w:rsidP="00B47CAC">
      <w:pPr>
        <w:rPr>
          <w:rFonts w:asciiTheme="minorHAnsi" w:hAnsiTheme="minorHAnsi"/>
        </w:rPr>
      </w:pPr>
      <w:r w:rsidRPr="00BA64B4">
        <w:rPr>
          <w:rFonts w:asciiTheme="minorHAnsi" w:hAnsiTheme="minorHAnsi"/>
        </w:rPr>
        <w:t xml:space="preserve">Additionally, </w:t>
      </w:r>
      <w:r w:rsidR="008005BD" w:rsidRPr="00BA64B4">
        <w:rPr>
          <w:rFonts w:asciiTheme="minorHAnsi" w:hAnsiTheme="minorHAnsi"/>
        </w:rPr>
        <w:t xml:space="preserve">for a small group filing, </w:t>
      </w:r>
      <w:r w:rsidRPr="00BA64B4">
        <w:rPr>
          <w:rFonts w:asciiTheme="minorHAnsi" w:hAnsiTheme="minorHAnsi"/>
        </w:rPr>
        <w:t>the actuarial memorandum must specify whether quarterly rates are proposed.</w:t>
      </w:r>
    </w:p>
    <w:p w14:paraId="37416236" w14:textId="77777777" w:rsidR="00894832" w:rsidRPr="00BA64B4" w:rsidRDefault="004949C2" w:rsidP="00536888">
      <w:pPr>
        <w:pStyle w:val="Heading2"/>
        <w:rPr>
          <w:rFonts w:asciiTheme="minorHAnsi" w:hAnsiTheme="minorHAnsi"/>
        </w:rPr>
      </w:pPr>
      <w:bookmarkStart w:id="169" w:name="_Toc474316434"/>
      <w:r>
        <w:rPr>
          <w:rFonts w:asciiTheme="minorHAnsi" w:hAnsiTheme="minorHAnsi"/>
        </w:rPr>
        <w:lastRenderedPageBreak/>
        <w:t>Historical Experience</w:t>
      </w:r>
      <w:r w:rsidR="00DF34DE">
        <w:rPr>
          <w:rFonts w:asciiTheme="minorHAnsi" w:hAnsiTheme="minorHAnsi"/>
        </w:rPr>
        <w:t xml:space="preserve"> (Table 4)</w:t>
      </w:r>
      <w:bookmarkEnd w:id="169"/>
    </w:p>
    <w:p w14:paraId="6261883C" w14:textId="3DA51190" w:rsidR="007E2980" w:rsidRPr="00271157" w:rsidRDefault="009137B7" w:rsidP="00B47CAC">
      <w:pPr>
        <w:rPr>
          <w:rFonts w:asciiTheme="minorHAnsi" w:hAnsiTheme="minorHAnsi"/>
        </w:rPr>
      </w:pPr>
      <w:r w:rsidRPr="00BA64B4">
        <w:rPr>
          <w:rFonts w:asciiTheme="minorHAnsi" w:hAnsiTheme="minorHAnsi"/>
        </w:rPr>
        <w:t xml:space="preserve">Provide the </w:t>
      </w:r>
      <w:r w:rsidR="00AC4EF7" w:rsidRPr="00BA64B4">
        <w:rPr>
          <w:rFonts w:asciiTheme="minorHAnsi" w:hAnsiTheme="minorHAnsi"/>
        </w:rPr>
        <w:t xml:space="preserve">data in Table </w:t>
      </w:r>
      <w:r w:rsidR="004949C2">
        <w:rPr>
          <w:rFonts w:asciiTheme="minorHAnsi" w:hAnsiTheme="minorHAnsi"/>
        </w:rPr>
        <w:t>4</w:t>
      </w:r>
      <w:r w:rsidR="00AC4EF7" w:rsidRPr="00BA64B4">
        <w:rPr>
          <w:rFonts w:asciiTheme="minorHAnsi" w:hAnsiTheme="minorHAnsi"/>
        </w:rPr>
        <w:t xml:space="preserve">, using the </w:t>
      </w:r>
      <w:r w:rsidRPr="00BA64B4">
        <w:rPr>
          <w:rFonts w:asciiTheme="minorHAnsi" w:hAnsiTheme="minorHAnsi"/>
        </w:rPr>
        <w:t xml:space="preserve">most recent 36 months </w:t>
      </w:r>
      <w:r w:rsidR="004556B2" w:rsidRPr="00BA64B4">
        <w:rPr>
          <w:rFonts w:asciiTheme="minorHAnsi" w:hAnsiTheme="minorHAnsi"/>
        </w:rPr>
        <w:t xml:space="preserve">(3 calendar years) </w:t>
      </w:r>
      <w:r w:rsidRPr="00BA64B4">
        <w:rPr>
          <w:rFonts w:asciiTheme="minorHAnsi" w:hAnsiTheme="minorHAnsi"/>
        </w:rPr>
        <w:t>of data</w:t>
      </w:r>
      <w:r w:rsidR="003D193D" w:rsidRPr="00BA64B4">
        <w:rPr>
          <w:rFonts w:asciiTheme="minorHAnsi" w:hAnsiTheme="minorHAnsi"/>
        </w:rPr>
        <w:t xml:space="preserve"> with </w:t>
      </w:r>
      <w:r w:rsidR="00693455" w:rsidRPr="00BA64B4">
        <w:rPr>
          <w:rFonts w:asciiTheme="minorHAnsi" w:hAnsiTheme="minorHAnsi"/>
        </w:rPr>
        <w:t xml:space="preserve">at least </w:t>
      </w:r>
      <w:r w:rsidR="000566C8" w:rsidRPr="00BA64B4">
        <w:rPr>
          <w:rFonts w:asciiTheme="minorHAnsi" w:hAnsiTheme="minorHAnsi"/>
        </w:rPr>
        <w:t>one</w:t>
      </w:r>
      <w:r w:rsidR="003D193D" w:rsidRPr="00BA64B4">
        <w:rPr>
          <w:rFonts w:asciiTheme="minorHAnsi" w:hAnsiTheme="minorHAnsi"/>
        </w:rPr>
        <w:t xml:space="preserve"> month of run-out</w:t>
      </w:r>
      <w:r w:rsidR="00AC4EF7" w:rsidRPr="00BA64B4">
        <w:rPr>
          <w:rFonts w:asciiTheme="minorHAnsi" w:hAnsiTheme="minorHAnsi"/>
        </w:rPr>
        <w:t>.</w:t>
      </w:r>
      <w:r w:rsidRPr="00BA64B4">
        <w:rPr>
          <w:rFonts w:asciiTheme="minorHAnsi" w:hAnsiTheme="minorHAnsi"/>
        </w:rPr>
        <w:t xml:space="preserve"> </w:t>
      </w:r>
      <w:r w:rsidR="004949C2">
        <w:rPr>
          <w:rFonts w:asciiTheme="minorHAnsi" w:hAnsiTheme="minorHAnsi"/>
        </w:rPr>
        <w:t xml:space="preserve">Disclose the method used to develop the allowed claims. </w:t>
      </w:r>
      <w:r w:rsidRPr="00BA64B4">
        <w:rPr>
          <w:rFonts w:asciiTheme="minorHAnsi" w:hAnsiTheme="minorHAnsi"/>
        </w:rPr>
        <w:t>Discuss how th</w:t>
      </w:r>
      <w:r w:rsidR="003D193D" w:rsidRPr="00BA64B4">
        <w:rPr>
          <w:rFonts w:asciiTheme="minorHAnsi" w:hAnsiTheme="minorHAnsi"/>
        </w:rPr>
        <w:t>e monthly</w:t>
      </w:r>
      <w:r w:rsidRPr="00BA64B4">
        <w:rPr>
          <w:rFonts w:asciiTheme="minorHAnsi" w:hAnsiTheme="minorHAnsi"/>
        </w:rPr>
        <w:t xml:space="preserve"> data was used and adjusted to develop the </w:t>
      </w:r>
      <w:r w:rsidR="006164EF" w:rsidRPr="00BA64B4">
        <w:rPr>
          <w:rFonts w:asciiTheme="minorHAnsi" w:hAnsiTheme="minorHAnsi"/>
        </w:rPr>
        <w:t xml:space="preserve">total </w:t>
      </w:r>
      <w:r w:rsidRPr="00BA64B4">
        <w:rPr>
          <w:rFonts w:asciiTheme="minorHAnsi" w:hAnsiTheme="minorHAnsi"/>
        </w:rPr>
        <w:t xml:space="preserve">proposed </w:t>
      </w:r>
      <w:r w:rsidR="004949C2">
        <w:rPr>
          <w:rFonts w:asciiTheme="minorHAnsi" w:hAnsiTheme="minorHAnsi"/>
        </w:rPr>
        <w:t xml:space="preserve">annual </w:t>
      </w:r>
      <w:r w:rsidR="00345AAB">
        <w:rPr>
          <w:rFonts w:asciiTheme="minorHAnsi" w:hAnsiTheme="minorHAnsi"/>
        </w:rPr>
        <w:t>Composite Pricing T</w:t>
      </w:r>
      <w:r w:rsidRPr="00BA64B4">
        <w:rPr>
          <w:rFonts w:asciiTheme="minorHAnsi" w:hAnsiTheme="minorHAnsi"/>
        </w:rPr>
        <w:t>rend</w:t>
      </w:r>
      <w:r w:rsidR="004949C2">
        <w:rPr>
          <w:rFonts w:asciiTheme="minorHAnsi" w:hAnsiTheme="minorHAnsi"/>
        </w:rPr>
        <w:t xml:space="preserve"> identified in Table 3</w:t>
      </w:r>
      <w:r w:rsidRPr="00BA64B4">
        <w:rPr>
          <w:rFonts w:asciiTheme="minorHAnsi" w:hAnsiTheme="minorHAnsi"/>
        </w:rPr>
        <w:t>.</w:t>
      </w:r>
      <w:r w:rsidR="003D193D" w:rsidRPr="00BA64B4">
        <w:rPr>
          <w:rFonts w:asciiTheme="minorHAnsi" w:hAnsiTheme="minorHAnsi"/>
        </w:rPr>
        <w:t xml:space="preserve"> </w:t>
      </w:r>
      <w:r w:rsidR="00B86A31" w:rsidRPr="00BA64B4">
        <w:rPr>
          <w:rFonts w:asciiTheme="minorHAnsi" w:hAnsiTheme="minorHAnsi"/>
        </w:rPr>
        <w:t xml:space="preserve"> If this data was not used to </w:t>
      </w:r>
      <w:r w:rsidR="00B86A31" w:rsidRPr="00271157">
        <w:rPr>
          <w:rFonts w:asciiTheme="minorHAnsi" w:hAnsiTheme="minorHAnsi"/>
        </w:rPr>
        <w:t>develop the trend</w:t>
      </w:r>
      <w:r w:rsidR="007C0EF0" w:rsidRPr="00271157">
        <w:rPr>
          <w:rFonts w:asciiTheme="minorHAnsi" w:hAnsiTheme="minorHAnsi"/>
        </w:rPr>
        <w:t>,</w:t>
      </w:r>
      <w:r w:rsidR="00B86A31" w:rsidRPr="00271157">
        <w:rPr>
          <w:rFonts w:asciiTheme="minorHAnsi" w:hAnsiTheme="minorHAnsi"/>
        </w:rPr>
        <w:t xml:space="preserve"> explain why</w:t>
      </w:r>
      <w:r w:rsidR="00894832" w:rsidRPr="00271157">
        <w:rPr>
          <w:rFonts w:asciiTheme="minorHAnsi" w:hAnsiTheme="minorHAnsi"/>
        </w:rPr>
        <w:t xml:space="preserve"> and provide the data </w:t>
      </w:r>
      <w:r w:rsidR="00693455" w:rsidRPr="00271157">
        <w:rPr>
          <w:rFonts w:asciiTheme="minorHAnsi" w:hAnsiTheme="minorHAnsi"/>
        </w:rPr>
        <w:t xml:space="preserve">(as </w:t>
      </w:r>
      <w:r w:rsidR="008005BD" w:rsidRPr="00271157">
        <w:rPr>
          <w:rFonts w:asciiTheme="minorHAnsi" w:hAnsiTheme="minorHAnsi"/>
        </w:rPr>
        <w:t>t</w:t>
      </w:r>
      <w:r w:rsidR="00693455" w:rsidRPr="00271157">
        <w:rPr>
          <w:rFonts w:asciiTheme="minorHAnsi" w:hAnsiTheme="minorHAnsi"/>
        </w:rPr>
        <w:t xml:space="preserve">able </w:t>
      </w:r>
      <w:r w:rsidR="004949C2" w:rsidRPr="00271157">
        <w:rPr>
          <w:rFonts w:asciiTheme="minorHAnsi" w:hAnsiTheme="minorHAnsi"/>
        </w:rPr>
        <w:t>4</w:t>
      </w:r>
      <w:r w:rsidR="00693455" w:rsidRPr="00271157">
        <w:rPr>
          <w:rFonts w:asciiTheme="minorHAnsi" w:hAnsiTheme="minorHAnsi"/>
        </w:rPr>
        <w:t xml:space="preserve">b) </w:t>
      </w:r>
      <w:r w:rsidR="00896C38" w:rsidRPr="00271157">
        <w:rPr>
          <w:rFonts w:asciiTheme="minorHAnsi" w:hAnsiTheme="minorHAnsi"/>
        </w:rPr>
        <w:t xml:space="preserve">and analysis </w:t>
      </w:r>
      <w:r w:rsidR="00894832" w:rsidRPr="00271157">
        <w:rPr>
          <w:rFonts w:asciiTheme="minorHAnsi" w:hAnsiTheme="minorHAnsi"/>
        </w:rPr>
        <w:t xml:space="preserve">used </w:t>
      </w:r>
      <w:r w:rsidR="00896C38" w:rsidRPr="00271157">
        <w:rPr>
          <w:rFonts w:asciiTheme="minorHAnsi" w:hAnsiTheme="minorHAnsi"/>
        </w:rPr>
        <w:t>in</w:t>
      </w:r>
      <w:r w:rsidR="00894832" w:rsidRPr="00271157">
        <w:rPr>
          <w:rFonts w:asciiTheme="minorHAnsi" w:hAnsiTheme="minorHAnsi"/>
        </w:rPr>
        <w:t xml:space="preserve"> </w:t>
      </w:r>
      <w:r w:rsidR="00896C38" w:rsidRPr="00271157">
        <w:rPr>
          <w:rFonts w:asciiTheme="minorHAnsi" w:hAnsiTheme="minorHAnsi"/>
        </w:rPr>
        <w:t>the development of the proposed trend</w:t>
      </w:r>
      <w:r w:rsidR="00B86A31" w:rsidRPr="00271157">
        <w:rPr>
          <w:rFonts w:asciiTheme="minorHAnsi" w:hAnsiTheme="minorHAnsi"/>
        </w:rPr>
        <w:t>.</w:t>
      </w:r>
      <w:r w:rsidR="00740104" w:rsidRPr="00271157">
        <w:rPr>
          <w:rFonts w:asciiTheme="minorHAnsi" w:hAnsiTheme="minorHAnsi"/>
        </w:rPr>
        <w:t xml:space="preserve"> </w:t>
      </w:r>
      <w:r w:rsidR="007450AE" w:rsidRPr="00271157">
        <w:rPr>
          <w:rFonts w:asciiTheme="minorHAnsi" w:hAnsiTheme="minorHAnsi"/>
        </w:rPr>
        <w:t>I</w:t>
      </w:r>
      <w:r w:rsidR="00740104" w:rsidRPr="00271157">
        <w:rPr>
          <w:rFonts w:asciiTheme="minorHAnsi" w:hAnsiTheme="minorHAnsi"/>
        </w:rPr>
        <w:t xml:space="preserve">f premium for transitional policies is included in table 4, provide the dollar amount of premium and the number of transitional members.  </w:t>
      </w:r>
    </w:p>
    <w:p w14:paraId="52B43EBC" w14:textId="77777777" w:rsidR="00475DC1" w:rsidRPr="00271157" w:rsidRDefault="00475DC1" w:rsidP="00541891">
      <w:pPr>
        <w:pStyle w:val="Heading1"/>
        <w:rPr>
          <w:rFonts w:asciiTheme="minorHAnsi" w:hAnsiTheme="minorHAnsi"/>
        </w:rPr>
      </w:pPr>
      <w:bookmarkStart w:id="170" w:name="_Toc474316435"/>
      <w:r w:rsidRPr="00271157">
        <w:rPr>
          <w:rFonts w:asciiTheme="minorHAnsi" w:hAnsiTheme="minorHAnsi"/>
        </w:rPr>
        <w:t>Rate Development &amp; Change</w:t>
      </w:r>
      <w:bookmarkEnd w:id="170"/>
    </w:p>
    <w:p w14:paraId="67D7A370" w14:textId="1C7A5B8A" w:rsidR="00680999" w:rsidRPr="00271157" w:rsidRDefault="00680999" w:rsidP="007E6C90">
      <w:pPr>
        <w:pStyle w:val="Heading2"/>
        <w:numPr>
          <w:ilvl w:val="0"/>
          <w:numId w:val="13"/>
        </w:numPr>
        <w:rPr>
          <w:rFonts w:asciiTheme="minorHAnsi" w:hAnsiTheme="minorHAnsi"/>
        </w:rPr>
      </w:pPr>
      <w:bookmarkStart w:id="171" w:name="_Toc440553971"/>
      <w:bookmarkStart w:id="172" w:name="_Toc440555413"/>
      <w:bookmarkStart w:id="173" w:name="_Toc440555590"/>
      <w:bookmarkStart w:id="174" w:name="_Toc440555654"/>
      <w:bookmarkStart w:id="175" w:name="_Toc474316436"/>
      <w:r w:rsidRPr="00271157">
        <w:rPr>
          <w:rFonts w:asciiTheme="minorHAnsi" w:hAnsiTheme="minorHAnsi"/>
        </w:rPr>
        <w:t>Projected Index Rate, Market-Adjusted Index Rate, &amp; Total Allowed Claims</w:t>
      </w:r>
      <w:bookmarkEnd w:id="171"/>
      <w:bookmarkEnd w:id="172"/>
      <w:bookmarkEnd w:id="173"/>
      <w:bookmarkEnd w:id="174"/>
      <w:r w:rsidR="00DF34DE" w:rsidRPr="00271157">
        <w:rPr>
          <w:rFonts w:asciiTheme="minorHAnsi" w:hAnsiTheme="minorHAnsi"/>
        </w:rPr>
        <w:t xml:space="preserve"> (Table 5)</w:t>
      </w:r>
      <w:bookmarkEnd w:id="175"/>
    </w:p>
    <w:p w14:paraId="56A5E42A" w14:textId="499F24B1" w:rsidR="00680999" w:rsidRPr="00271157" w:rsidRDefault="00680999" w:rsidP="00680999">
      <w:pPr>
        <w:rPr>
          <w:rFonts w:asciiTheme="minorHAnsi" w:hAnsiTheme="minorHAnsi"/>
        </w:rPr>
      </w:pPr>
      <w:r w:rsidRPr="00271157">
        <w:rPr>
          <w:rFonts w:asciiTheme="minorHAnsi" w:hAnsiTheme="minorHAnsi"/>
        </w:rPr>
        <w:t xml:space="preserve">Starting </w:t>
      </w:r>
      <w:r w:rsidR="00F02CCB" w:rsidRPr="00271157">
        <w:rPr>
          <w:rFonts w:asciiTheme="minorHAnsi" w:hAnsiTheme="minorHAnsi"/>
        </w:rPr>
        <w:t>with</w:t>
      </w:r>
      <w:r w:rsidRPr="00271157">
        <w:rPr>
          <w:rFonts w:asciiTheme="minorHAnsi" w:hAnsiTheme="minorHAnsi"/>
        </w:rPr>
        <w:t xml:space="preserve"> the 201</w:t>
      </w:r>
      <w:r w:rsidR="00345AAB" w:rsidRPr="00271157">
        <w:rPr>
          <w:rFonts w:asciiTheme="minorHAnsi" w:hAnsiTheme="minorHAnsi"/>
        </w:rPr>
        <w:t>6</w:t>
      </w:r>
      <w:r w:rsidRPr="00271157">
        <w:rPr>
          <w:rFonts w:asciiTheme="minorHAnsi" w:hAnsiTheme="minorHAnsi"/>
        </w:rPr>
        <w:t xml:space="preserve"> index rate</w:t>
      </w:r>
      <w:r w:rsidR="002E4117" w:rsidRPr="00271157">
        <w:rPr>
          <w:rFonts w:asciiTheme="minorHAnsi" w:hAnsiTheme="minorHAnsi"/>
        </w:rPr>
        <w:t>,</w:t>
      </w:r>
      <w:r w:rsidRPr="00271157">
        <w:rPr>
          <w:rFonts w:asciiTheme="minorHAnsi" w:hAnsiTheme="minorHAnsi"/>
        </w:rPr>
        <w:t xml:space="preserve"> </w:t>
      </w:r>
      <w:r w:rsidR="00C8409F" w:rsidRPr="00271157">
        <w:rPr>
          <w:rFonts w:asciiTheme="minorHAnsi" w:hAnsiTheme="minorHAnsi"/>
        </w:rPr>
        <w:t xml:space="preserve">complete Table 5 and </w:t>
      </w:r>
      <w:r w:rsidRPr="00271157">
        <w:rPr>
          <w:rFonts w:asciiTheme="minorHAnsi" w:hAnsiTheme="minorHAnsi"/>
        </w:rPr>
        <w:t xml:space="preserve">provide a detailed narrative of the development of the Projected Index Rate, Projected Market-Adjusted Index Rate, and Projected Total Allowed Claims. </w:t>
      </w:r>
      <w:r w:rsidR="00936CCD" w:rsidRPr="00271157">
        <w:rPr>
          <w:rFonts w:asciiTheme="minorHAnsi" w:hAnsiTheme="minorHAnsi"/>
        </w:rPr>
        <w:t xml:space="preserve"> Table 5 has been revised to show the development of the credibility weighted Projected Index Rate using </w:t>
      </w:r>
      <w:r w:rsidR="006A67A2" w:rsidRPr="00271157">
        <w:rPr>
          <w:rFonts w:asciiTheme="minorHAnsi" w:hAnsiTheme="minorHAnsi"/>
        </w:rPr>
        <w:t xml:space="preserve">parallel </w:t>
      </w:r>
      <w:r w:rsidR="00936CCD" w:rsidRPr="00271157">
        <w:rPr>
          <w:rFonts w:asciiTheme="minorHAnsi" w:hAnsiTheme="minorHAnsi"/>
        </w:rPr>
        <w:t>actual experience and/or manual data</w:t>
      </w:r>
      <w:r w:rsidR="006A67A2" w:rsidRPr="00271157">
        <w:rPr>
          <w:rFonts w:asciiTheme="minorHAnsi" w:hAnsiTheme="minorHAnsi"/>
        </w:rPr>
        <w:t xml:space="preserve"> inputs</w:t>
      </w:r>
      <w:r w:rsidR="00936CCD" w:rsidRPr="00271157">
        <w:rPr>
          <w:rFonts w:asciiTheme="minorHAnsi" w:hAnsiTheme="minorHAnsi"/>
        </w:rPr>
        <w:t xml:space="preserve">. </w:t>
      </w:r>
      <w:r w:rsidR="006C2C68" w:rsidRPr="00271157">
        <w:rPr>
          <w:rFonts w:asciiTheme="minorHAnsi" w:hAnsiTheme="minorHAnsi"/>
        </w:rPr>
        <w:t xml:space="preserve">Issuers are now required to input </w:t>
      </w:r>
      <w:r w:rsidR="00985FED" w:rsidRPr="00271157">
        <w:rPr>
          <w:rFonts w:asciiTheme="minorHAnsi" w:hAnsiTheme="minorHAnsi"/>
        </w:rPr>
        <w:t xml:space="preserve">in row 23 </w:t>
      </w:r>
      <w:r w:rsidR="006C2C68" w:rsidRPr="00271157">
        <w:rPr>
          <w:rFonts w:asciiTheme="minorHAnsi" w:hAnsiTheme="minorHAnsi"/>
        </w:rPr>
        <w:t>the credibility weights associated with the actual experience data and the manual data</w:t>
      </w:r>
      <w:r w:rsidR="00CA0141" w:rsidRPr="00271157">
        <w:rPr>
          <w:rFonts w:asciiTheme="minorHAnsi" w:hAnsiTheme="minorHAnsi"/>
        </w:rPr>
        <w:t xml:space="preserve">. </w:t>
      </w:r>
      <w:r w:rsidR="00287BFE" w:rsidRPr="00271157">
        <w:rPr>
          <w:rFonts w:asciiTheme="minorHAnsi" w:hAnsiTheme="minorHAnsi"/>
          <w:szCs w:val="22"/>
        </w:rPr>
        <w:t>Provide the credibility factors used and support these factors by providing a narrative including the credibility formula and methodology.</w:t>
      </w:r>
      <w:r w:rsidR="00287BFE" w:rsidRPr="00271157">
        <w:rPr>
          <w:rFonts w:asciiTheme="minorHAnsi" w:hAnsiTheme="minorHAnsi"/>
        </w:rPr>
        <w:t xml:space="preserve"> </w:t>
      </w:r>
      <w:r w:rsidRPr="00271157">
        <w:rPr>
          <w:rFonts w:asciiTheme="minorHAnsi" w:hAnsiTheme="minorHAnsi"/>
        </w:rPr>
        <w:t>All rating period adjustments must be shown and supporting data</w:t>
      </w:r>
      <w:r w:rsidR="007C19A0" w:rsidRPr="00271157">
        <w:rPr>
          <w:rFonts w:asciiTheme="minorHAnsi" w:hAnsiTheme="minorHAnsi"/>
        </w:rPr>
        <w:t xml:space="preserve"> and narrative </w:t>
      </w:r>
      <w:r w:rsidRPr="00271157">
        <w:rPr>
          <w:rFonts w:asciiTheme="minorHAnsi" w:hAnsiTheme="minorHAnsi"/>
        </w:rPr>
        <w:t xml:space="preserve">provided.   </w:t>
      </w:r>
    </w:p>
    <w:p w14:paraId="352F0F5A" w14:textId="77777777" w:rsidR="00680999" w:rsidRPr="00271157" w:rsidRDefault="00680999" w:rsidP="00680999">
      <w:pPr>
        <w:rPr>
          <w:rFonts w:asciiTheme="minorHAnsi" w:hAnsiTheme="minorHAnsi"/>
        </w:rPr>
      </w:pPr>
    </w:p>
    <w:p w14:paraId="696CBF58" w14:textId="5880A612" w:rsidR="00F02CCB" w:rsidRPr="00BA64B4" w:rsidRDefault="00C8409F" w:rsidP="00F02CCB">
      <w:pPr>
        <w:rPr>
          <w:rFonts w:asciiTheme="minorHAnsi" w:hAnsiTheme="minorHAnsi"/>
        </w:rPr>
      </w:pPr>
      <w:r w:rsidRPr="00271157">
        <w:rPr>
          <w:rFonts w:asciiTheme="minorHAnsi" w:hAnsiTheme="minorHAnsi"/>
        </w:rPr>
        <w:t>Discuss the calculation</w:t>
      </w:r>
      <w:r w:rsidR="00740104" w:rsidRPr="00271157">
        <w:rPr>
          <w:rFonts w:asciiTheme="minorHAnsi" w:hAnsiTheme="minorHAnsi"/>
        </w:rPr>
        <w:t>, and show quantitatively, in an Excel spreadsheet with formulas, the derivation and justification</w:t>
      </w:r>
      <w:r w:rsidRPr="00271157">
        <w:rPr>
          <w:rFonts w:asciiTheme="minorHAnsi" w:hAnsiTheme="minorHAnsi"/>
        </w:rPr>
        <w:t xml:space="preserve"> of each of the Single Risk Pool Adjustment Factors</w:t>
      </w:r>
      <w:r w:rsidR="00287BFE" w:rsidRPr="00271157">
        <w:rPr>
          <w:rFonts w:asciiTheme="minorHAnsi" w:hAnsiTheme="minorHAnsi"/>
        </w:rPr>
        <w:t xml:space="preserve"> </w:t>
      </w:r>
      <w:r w:rsidR="00287BFE" w:rsidRPr="00271157">
        <w:rPr>
          <w:rFonts w:asciiTheme="minorHAnsi" w:hAnsiTheme="minorHAnsi"/>
          <w:szCs w:val="22"/>
        </w:rPr>
        <w:t>(Change in Morbidity, Change in Demographics, Change in Network, Change in Benefits, Change in Other) for actual and manual data and explain the variation (if any) between the two</w:t>
      </w:r>
      <w:r w:rsidRPr="00271157">
        <w:rPr>
          <w:rFonts w:asciiTheme="minorHAnsi" w:hAnsiTheme="minorHAnsi"/>
        </w:rPr>
        <w:t>. Detail the contributing</w:t>
      </w:r>
      <w:r>
        <w:rPr>
          <w:rFonts w:asciiTheme="minorHAnsi" w:hAnsiTheme="minorHAnsi"/>
        </w:rPr>
        <w:t xml:space="preserve"> factors to the “Change in Benefits” factor, including adjustments to bring transitional experience to the EHB benefit level. </w:t>
      </w:r>
      <w:r w:rsidR="006B4A8E" w:rsidRPr="00BA64B4">
        <w:rPr>
          <w:rFonts w:asciiTheme="minorHAnsi" w:hAnsiTheme="minorHAnsi"/>
        </w:rPr>
        <w:t>The</w:t>
      </w:r>
      <w:r w:rsidR="006B4A8E">
        <w:rPr>
          <w:rFonts w:asciiTheme="minorHAnsi" w:hAnsiTheme="minorHAnsi"/>
        </w:rPr>
        <w:t xml:space="preserve"> “</w:t>
      </w:r>
      <w:r>
        <w:rPr>
          <w:rFonts w:asciiTheme="minorHAnsi" w:hAnsiTheme="minorHAnsi"/>
        </w:rPr>
        <w:t>Change in Morbidity”</w:t>
      </w:r>
      <w:r w:rsidR="00F02CCB" w:rsidRPr="00BA64B4">
        <w:rPr>
          <w:rFonts w:asciiTheme="minorHAnsi" w:hAnsiTheme="minorHAnsi"/>
        </w:rPr>
        <w:t xml:space="preserve"> and the total of the </w:t>
      </w:r>
      <w:r>
        <w:rPr>
          <w:rFonts w:asciiTheme="minorHAnsi" w:hAnsiTheme="minorHAnsi"/>
        </w:rPr>
        <w:t xml:space="preserve">“Change in </w:t>
      </w:r>
      <w:r w:rsidR="00F02CCB" w:rsidRPr="00BA64B4">
        <w:rPr>
          <w:rFonts w:asciiTheme="minorHAnsi" w:hAnsiTheme="minorHAnsi"/>
        </w:rPr>
        <w:t>Other</w:t>
      </w:r>
      <w:r>
        <w:rPr>
          <w:rFonts w:asciiTheme="minorHAnsi" w:hAnsiTheme="minorHAnsi"/>
        </w:rPr>
        <w:t>”</w:t>
      </w:r>
      <w:r w:rsidR="00F02CCB" w:rsidRPr="00BA64B4">
        <w:rPr>
          <w:rFonts w:asciiTheme="minorHAnsi" w:hAnsiTheme="minorHAnsi"/>
        </w:rPr>
        <w:t xml:space="preserve"> adjustments should equal those entered in Worksheet I, Section 2 of the URRT.  Adjustments captured in </w:t>
      </w:r>
      <w:r w:rsidR="00C3528E">
        <w:rPr>
          <w:rFonts w:asciiTheme="minorHAnsi" w:hAnsiTheme="minorHAnsi"/>
        </w:rPr>
        <w:t>cell</w:t>
      </w:r>
      <w:r w:rsidR="006B4DB2">
        <w:rPr>
          <w:rFonts w:asciiTheme="minorHAnsi" w:hAnsiTheme="minorHAnsi"/>
        </w:rPr>
        <w:t>s</w:t>
      </w:r>
      <w:r w:rsidR="00C3528E">
        <w:rPr>
          <w:rFonts w:asciiTheme="minorHAnsi" w:hAnsiTheme="minorHAnsi"/>
        </w:rPr>
        <w:t xml:space="preserve"> C</w:t>
      </w:r>
      <w:r w:rsidR="006B4DB2">
        <w:rPr>
          <w:rFonts w:asciiTheme="minorHAnsi" w:hAnsiTheme="minorHAnsi"/>
        </w:rPr>
        <w:t>20 and D20</w:t>
      </w:r>
      <w:r w:rsidR="00C3528E">
        <w:rPr>
          <w:rFonts w:asciiTheme="minorHAnsi" w:hAnsiTheme="minorHAnsi"/>
        </w:rPr>
        <w:t xml:space="preserve">, </w:t>
      </w:r>
      <w:r w:rsidR="00F02CCB" w:rsidRPr="00BA64B4">
        <w:rPr>
          <w:rFonts w:asciiTheme="minorHAnsi" w:hAnsiTheme="minorHAnsi"/>
        </w:rPr>
        <w:t xml:space="preserve">the “Other - </w:t>
      </w:r>
      <w:r>
        <w:rPr>
          <w:rFonts w:asciiTheme="minorHAnsi" w:hAnsiTheme="minorHAnsi"/>
        </w:rPr>
        <w:t xml:space="preserve">Change in </w:t>
      </w:r>
      <w:r w:rsidR="00F02CCB" w:rsidRPr="00BA64B4">
        <w:rPr>
          <w:rFonts w:asciiTheme="minorHAnsi" w:hAnsiTheme="minorHAnsi"/>
        </w:rPr>
        <w:t>Other” category</w:t>
      </w:r>
      <w:r w:rsidR="00C3528E">
        <w:rPr>
          <w:rFonts w:asciiTheme="minorHAnsi" w:hAnsiTheme="minorHAnsi"/>
        </w:rPr>
        <w:t>,</w:t>
      </w:r>
      <w:r w:rsidR="00F02CCB" w:rsidRPr="00BA64B4">
        <w:rPr>
          <w:rFonts w:asciiTheme="minorHAnsi" w:hAnsiTheme="minorHAnsi"/>
        </w:rPr>
        <w:t xml:space="preserve"> must be identified. </w:t>
      </w:r>
      <w:r w:rsidR="00985FED">
        <w:rPr>
          <w:rFonts w:asciiTheme="minorHAnsi" w:hAnsiTheme="minorHAnsi"/>
        </w:rPr>
        <w:t xml:space="preserve">Adjustments such as private reinsurance should be included in these cells.  See the URR Instructions for additional items that may be reported in this section.  </w:t>
      </w:r>
    </w:p>
    <w:p w14:paraId="0E44B430" w14:textId="77777777" w:rsidR="00287BFE" w:rsidRPr="00BA64B4" w:rsidRDefault="00287BFE" w:rsidP="00F02CCB">
      <w:pPr>
        <w:rPr>
          <w:rFonts w:asciiTheme="minorHAnsi" w:hAnsiTheme="minorHAnsi"/>
        </w:rPr>
      </w:pPr>
    </w:p>
    <w:p w14:paraId="61D7AD4F" w14:textId="4C147AED" w:rsidR="00680999" w:rsidRDefault="00680999" w:rsidP="00680999">
      <w:pPr>
        <w:rPr>
          <w:rFonts w:asciiTheme="minorHAnsi" w:hAnsiTheme="minorHAnsi"/>
        </w:rPr>
      </w:pPr>
      <w:r w:rsidRPr="00BA64B4">
        <w:rPr>
          <w:rFonts w:asciiTheme="minorHAnsi" w:hAnsiTheme="minorHAnsi"/>
        </w:rPr>
        <w:t>Discuss the non-EHBs</w:t>
      </w:r>
      <w:r w:rsidR="00FC6130">
        <w:rPr>
          <w:rFonts w:asciiTheme="minorHAnsi" w:hAnsiTheme="minorHAnsi"/>
        </w:rPr>
        <w:t>, included in cell C38,</w:t>
      </w:r>
      <w:r w:rsidRPr="00BA64B4">
        <w:rPr>
          <w:rFonts w:asciiTheme="minorHAnsi" w:hAnsiTheme="minorHAnsi"/>
        </w:rPr>
        <w:t xml:space="preserve"> and the development of the associated costs.</w:t>
      </w:r>
    </w:p>
    <w:p w14:paraId="2A2097B4" w14:textId="77777777" w:rsidR="00A55B42" w:rsidRDefault="00A55B42" w:rsidP="00680999">
      <w:pPr>
        <w:rPr>
          <w:rFonts w:asciiTheme="minorHAnsi" w:hAnsiTheme="minorHAnsi"/>
        </w:rPr>
      </w:pPr>
    </w:p>
    <w:p w14:paraId="3F688C5D" w14:textId="77777777" w:rsidR="00A55B42" w:rsidRDefault="00A55B42" w:rsidP="00680999">
      <w:pPr>
        <w:rPr>
          <w:rFonts w:asciiTheme="minorHAnsi" w:hAnsiTheme="minorHAnsi"/>
        </w:rPr>
      </w:pPr>
      <w:r>
        <w:rPr>
          <w:rFonts w:asciiTheme="minorHAnsi" w:hAnsiTheme="minorHAnsi"/>
        </w:rPr>
        <w:t xml:space="preserve">To the extent that the calculation of the items in Table 5 is modified to adjust the treatment of capitation, demonstrate and explain those modifications in the narrative. </w:t>
      </w:r>
    </w:p>
    <w:p w14:paraId="28DD9990" w14:textId="77777777" w:rsidR="00E62831" w:rsidRDefault="00E62831" w:rsidP="00680999">
      <w:pPr>
        <w:rPr>
          <w:rFonts w:asciiTheme="minorHAnsi" w:hAnsiTheme="minorHAnsi"/>
        </w:rPr>
      </w:pPr>
    </w:p>
    <w:p w14:paraId="5858F19E" w14:textId="77777777" w:rsidR="00E62831" w:rsidRPr="00BA64B4" w:rsidRDefault="00E62831" w:rsidP="00680999">
      <w:pPr>
        <w:rPr>
          <w:rFonts w:asciiTheme="minorHAnsi" w:hAnsiTheme="minorHAnsi"/>
        </w:rPr>
      </w:pPr>
      <w:r>
        <w:rPr>
          <w:rFonts w:asciiTheme="minorHAnsi" w:hAnsiTheme="minorHAnsi"/>
        </w:rPr>
        <w:t>S</w:t>
      </w:r>
      <w:r w:rsidRPr="00E62831">
        <w:rPr>
          <w:rFonts w:asciiTheme="minorHAnsi" w:hAnsiTheme="minorHAnsi"/>
        </w:rPr>
        <w:t>how quantitatively, including an Excel spreadsheet with formulas, the derivation of the Projected Risk Adjustments PMPM amount</w:t>
      </w:r>
      <w:r>
        <w:rPr>
          <w:rFonts w:asciiTheme="minorHAnsi" w:hAnsiTheme="minorHAnsi"/>
        </w:rPr>
        <w:t>.</w:t>
      </w:r>
      <w:r w:rsidRPr="00E62831">
        <w:rPr>
          <w:rFonts w:asciiTheme="minorHAnsi" w:hAnsiTheme="minorHAnsi"/>
        </w:rPr>
        <w:t xml:space="preserve"> </w:t>
      </w:r>
      <w:r>
        <w:rPr>
          <w:rFonts w:asciiTheme="minorHAnsi" w:hAnsiTheme="minorHAnsi"/>
        </w:rPr>
        <w:t>P</w:t>
      </w:r>
      <w:r w:rsidRPr="00E62831">
        <w:rPr>
          <w:rFonts w:asciiTheme="minorHAnsi" w:hAnsiTheme="minorHAnsi"/>
        </w:rPr>
        <w:t>rovide a detailed narrative that describers the development of the estimated risk adjustment transfer payment.  In demonstrating the development of the transfer payment, please show all risk transfer formula components, the estimated market-wide average risk assumptions</w:t>
      </w:r>
      <w:r>
        <w:rPr>
          <w:rFonts w:asciiTheme="minorHAnsi" w:hAnsiTheme="minorHAnsi"/>
        </w:rPr>
        <w:t>,</w:t>
      </w:r>
      <w:r w:rsidRPr="00E62831">
        <w:rPr>
          <w:rFonts w:asciiTheme="minorHAnsi" w:hAnsiTheme="minorHAnsi"/>
        </w:rPr>
        <w:t xml:space="preserve"> </w:t>
      </w:r>
      <w:r>
        <w:rPr>
          <w:rFonts w:asciiTheme="minorHAnsi" w:hAnsiTheme="minorHAnsi"/>
        </w:rPr>
        <w:t>and</w:t>
      </w:r>
      <w:r w:rsidRPr="00E62831">
        <w:rPr>
          <w:rFonts w:asciiTheme="minorHAnsi" w:hAnsiTheme="minorHAnsi"/>
        </w:rPr>
        <w:t xml:space="preserve"> support for those assumptions. </w:t>
      </w:r>
      <w:r>
        <w:rPr>
          <w:rFonts w:asciiTheme="minorHAnsi" w:hAnsiTheme="minorHAnsi"/>
        </w:rPr>
        <w:t xml:space="preserve">Also </w:t>
      </w:r>
      <w:r w:rsidRPr="00E62831">
        <w:rPr>
          <w:rFonts w:asciiTheme="minorHAnsi" w:hAnsiTheme="minorHAnsi"/>
        </w:rPr>
        <w:t>show the development of the Exchange user fee.</w:t>
      </w:r>
    </w:p>
    <w:p w14:paraId="673A1F1A" w14:textId="77777777" w:rsidR="00B36798" w:rsidRPr="00BA64B4" w:rsidRDefault="00B36798" w:rsidP="00E62831">
      <w:pPr>
        <w:rPr>
          <w:rFonts w:asciiTheme="minorHAnsi" w:hAnsiTheme="minorHAnsi"/>
        </w:rPr>
      </w:pPr>
    </w:p>
    <w:p w14:paraId="3BC80715" w14:textId="77777777" w:rsidR="00F124A8" w:rsidRDefault="00E62FF9" w:rsidP="00B47CAC">
      <w:pPr>
        <w:rPr>
          <w:rFonts w:asciiTheme="minorHAnsi" w:hAnsiTheme="minorHAnsi"/>
        </w:rPr>
      </w:pPr>
      <w:r w:rsidRPr="00BA64B4">
        <w:rPr>
          <w:rFonts w:asciiTheme="minorHAnsi" w:hAnsiTheme="minorHAnsi"/>
        </w:rPr>
        <w:t xml:space="preserve">Note that, in table </w:t>
      </w:r>
      <w:r w:rsidR="00313C06">
        <w:rPr>
          <w:rFonts w:asciiTheme="minorHAnsi" w:hAnsiTheme="minorHAnsi"/>
        </w:rPr>
        <w:t>5</w:t>
      </w:r>
      <w:r w:rsidRPr="00BA64B4">
        <w:rPr>
          <w:rFonts w:asciiTheme="minorHAnsi" w:hAnsiTheme="minorHAnsi"/>
        </w:rPr>
        <w:t xml:space="preserve">, after the paid to allowed ratio is applied to the index rate, the result is named the </w:t>
      </w:r>
      <w:r w:rsidR="00C8409F" w:rsidRPr="00BA64B4">
        <w:rPr>
          <w:rFonts w:asciiTheme="minorHAnsi" w:hAnsiTheme="minorHAnsi"/>
        </w:rPr>
        <w:t xml:space="preserve">Projected Paid </w:t>
      </w:r>
      <w:r w:rsidR="00C8409F">
        <w:rPr>
          <w:rFonts w:asciiTheme="minorHAnsi" w:hAnsiTheme="minorHAnsi"/>
        </w:rPr>
        <w:t xml:space="preserve">EHB Claims </w:t>
      </w:r>
      <w:r w:rsidRPr="00BA64B4">
        <w:rPr>
          <w:rFonts w:asciiTheme="minorHAnsi" w:hAnsiTheme="minorHAnsi"/>
        </w:rPr>
        <w:t xml:space="preserve">PMPM. </w:t>
      </w:r>
      <w:r w:rsidR="00F124A8" w:rsidRPr="00BA64B4">
        <w:rPr>
          <w:rFonts w:asciiTheme="minorHAnsi" w:hAnsiTheme="minorHAnsi"/>
        </w:rPr>
        <w:t xml:space="preserve">In fact, </w:t>
      </w:r>
      <w:r w:rsidRPr="00BA64B4">
        <w:rPr>
          <w:rFonts w:asciiTheme="minorHAnsi" w:hAnsiTheme="minorHAnsi"/>
        </w:rPr>
        <w:t xml:space="preserve">this is the </w:t>
      </w:r>
      <w:r w:rsidR="00AC4EF7" w:rsidRPr="00BA64B4">
        <w:rPr>
          <w:rFonts w:asciiTheme="minorHAnsi" w:hAnsiTheme="minorHAnsi"/>
        </w:rPr>
        <w:t xml:space="preserve">projected </w:t>
      </w:r>
      <w:r w:rsidRPr="00BA64B4">
        <w:rPr>
          <w:rFonts w:asciiTheme="minorHAnsi" w:hAnsiTheme="minorHAnsi"/>
          <w:i/>
        </w:rPr>
        <w:t>incurred</w:t>
      </w:r>
      <w:r w:rsidRPr="00BA64B4">
        <w:rPr>
          <w:rFonts w:asciiTheme="minorHAnsi" w:hAnsiTheme="minorHAnsi"/>
        </w:rPr>
        <w:t xml:space="preserve"> PMPM, but the term “paid” is used to remain consisten</w:t>
      </w:r>
      <w:r w:rsidR="001954D0" w:rsidRPr="00BA64B4">
        <w:rPr>
          <w:rFonts w:asciiTheme="minorHAnsi" w:hAnsiTheme="minorHAnsi"/>
        </w:rPr>
        <w:t xml:space="preserve">t with the URRT spreadsheet 1. </w:t>
      </w:r>
    </w:p>
    <w:p w14:paraId="03C473EB" w14:textId="77777777" w:rsidR="00B36798" w:rsidRDefault="00B36798" w:rsidP="00B47CAC">
      <w:pPr>
        <w:rPr>
          <w:rFonts w:asciiTheme="minorHAnsi" w:hAnsiTheme="minorHAnsi"/>
        </w:rPr>
      </w:pPr>
    </w:p>
    <w:p w14:paraId="16BD0B7E" w14:textId="77777777" w:rsidR="00271157" w:rsidRDefault="00271157" w:rsidP="00B47CAC">
      <w:pPr>
        <w:rPr>
          <w:rFonts w:asciiTheme="minorHAnsi" w:hAnsiTheme="minorHAnsi"/>
          <w:i/>
          <w:u w:val="single"/>
        </w:rPr>
      </w:pPr>
    </w:p>
    <w:p w14:paraId="6D6EA555" w14:textId="77777777" w:rsidR="00271157" w:rsidRDefault="00271157" w:rsidP="00B47CAC">
      <w:pPr>
        <w:rPr>
          <w:rFonts w:asciiTheme="minorHAnsi" w:hAnsiTheme="minorHAnsi"/>
          <w:i/>
          <w:u w:val="single"/>
        </w:rPr>
      </w:pPr>
    </w:p>
    <w:p w14:paraId="229FB632" w14:textId="77777777" w:rsidR="00B36798" w:rsidRDefault="00B36798" w:rsidP="00B47CAC">
      <w:pPr>
        <w:rPr>
          <w:rFonts w:asciiTheme="minorHAnsi" w:hAnsiTheme="minorHAnsi"/>
          <w:i/>
          <w:u w:val="single"/>
        </w:rPr>
      </w:pPr>
      <w:r w:rsidRPr="00500B1B">
        <w:rPr>
          <w:rFonts w:asciiTheme="minorHAnsi" w:hAnsiTheme="minorHAnsi"/>
          <w:i/>
          <w:u w:val="single"/>
        </w:rPr>
        <w:lastRenderedPageBreak/>
        <w:t xml:space="preserve">Small Group Market Filings Only </w:t>
      </w:r>
    </w:p>
    <w:p w14:paraId="641D5C00" w14:textId="17D29859" w:rsidR="00B36798" w:rsidRPr="00A01ECB" w:rsidRDefault="00A01ECB" w:rsidP="00B47CAC">
      <w:pPr>
        <w:rPr>
          <w:rFonts w:asciiTheme="minorHAnsi" w:hAnsiTheme="minorHAnsi"/>
        </w:rPr>
      </w:pPr>
      <w:r>
        <w:rPr>
          <w:rFonts w:asciiTheme="minorHAnsi" w:hAnsiTheme="minorHAnsi"/>
        </w:rPr>
        <w:t>Only s</w:t>
      </w:r>
      <w:r w:rsidR="00B36798" w:rsidRPr="00A01ECB">
        <w:rPr>
          <w:rFonts w:asciiTheme="minorHAnsi" w:hAnsiTheme="minorHAnsi"/>
        </w:rPr>
        <w:t xml:space="preserve">mall group </w:t>
      </w:r>
      <w:r w:rsidR="00B36798">
        <w:rPr>
          <w:rFonts w:asciiTheme="minorHAnsi" w:hAnsiTheme="minorHAnsi"/>
        </w:rPr>
        <w:t xml:space="preserve">market filings </w:t>
      </w:r>
      <w:r>
        <w:rPr>
          <w:rFonts w:asciiTheme="minorHAnsi" w:hAnsiTheme="minorHAnsi"/>
        </w:rPr>
        <w:t xml:space="preserve">using quarterly trended rates </w:t>
      </w:r>
      <w:r w:rsidR="00B36798">
        <w:rPr>
          <w:rFonts w:asciiTheme="minorHAnsi" w:hAnsiTheme="minorHAnsi"/>
        </w:rPr>
        <w:t xml:space="preserve">should complete </w:t>
      </w:r>
      <w:r>
        <w:rPr>
          <w:rFonts w:asciiTheme="minorHAnsi" w:hAnsiTheme="minorHAnsi"/>
        </w:rPr>
        <w:t>Table 5A</w:t>
      </w:r>
      <w:r w:rsidR="00B36798">
        <w:rPr>
          <w:rFonts w:asciiTheme="minorHAnsi" w:hAnsiTheme="minorHAnsi"/>
        </w:rPr>
        <w:t>.</w:t>
      </w:r>
      <w:r w:rsidR="006B4A8E">
        <w:rPr>
          <w:rFonts w:asciiTheme="minorHAnsi" w:hAnsiTheme="minorHAnsi"/>
        </w:rPr>
        <w:t xml:space="preserve"> </w:t>
      </w:r>
      <w:r>
        <w:rPr>
          <w:rFonts w:asciiTheme="minorHAnsi" w:hAnsiTheme="minorHAnsi"/>
        </w:rPr>
        <w:t>For these filings</w:t>
      </w:r>
      <w:r w:rsidR="00B36798">
        <w:rPr>
          <w:rFonts w:asciiTheme="minorHAnsi" w:hAnsiTheme="minorHAnsi"/>
        </w:rPr>
        <w:t xml:space="preserve">, enter the number of member months renewing by quarter in cells </w:t>
      </w:r>
      <w:r w:rsidR="003D71A9">
        <w:rPr>
          <w:rFonts w:asciiTheme="minorHAnsi" w:hAnsiTheme="minorHAnsi"/>
        </w:rPr>
        <w:t>J</w:t>
      </w:r>
      <w:r w:rsidR="006C2C68">
        <w:rPr>
          <w:rFonts w:asciiTheme="minorHAnsi" w:hAnsiTheme="minorHAnsi"/>
        </w:rPr>
        <w:t>2</w:t>
      </w:r>
      <w:r w:rsidR="00B36798">
        <w:rPr>
          <w:rFonts w:asciiTheme="minorHAnsi" w:hAnsiTheme="minorHAnsi"/>
        </w:rPr>
        <w:t xml:space="preserve">9 through </w:t>
      </w:r>
      <w:r w:rsidR="006C2C68">
        <w:rPr>
          <w:rFonts w:asciiTheme="minorHAnsi" w:hAnsiTheme="minorHAnsi"/>
        </w:rPr>
        <w:t>M2</w:t>
      </w:r>
      <w:r w:rsidR="00B36798">
        <w:rPr>
          <w:rFonts w:asciiTheme="minorHAnsi" w:hAnsiTheme="minorHAnsi"/>
        </w:rPr>
        <w:t xml:space="preserve">9. The template includes default months of trend </w:t>
      </w:r>
      <w:r>
        <w:rPr>
          <w:rFonts w:asciiTheme="minorHAnsi" w:hAnsiTheme="minorHAnsi"/>
        </w:rPr>
        <w:t>(0, 3, 6</w:t>
      </w:r>
      <w:r w:rsidR="00500B1B">
        <w:rPr>
          <w:rFonts w:asciiTheme="minorHAnsi" w:hAnsiTheme="minorHAnsi"/>
        </w:rPr>
        <w:t xml:space="preserve"> and</w:t>
      </w:r>
      <w:r w:rsidR="006B4A8E">
        <w:rPr>
          <w:rFonts w:asciiTheme="minorHAnsi" w:hAnsiTheme="minorHAnsi"/>
        </w:rPr>
        <w:t xml:space="preserve"> </w:t>
      </w:r>
      <w:r>
        <w:rPr>
          <w:rFonts w:asciiTheme="minorHAnsi" w:hAnsiTheme="minorHAnsi"/>
        </w:rPr>
        <w:t xml:space="preserve">9) </w:t>
      </w:r>
      <w:r w:rsidR="00B36798">
        <w:rPr>
          <w:rFonts w:asciiTheme="minorHAnsi" w:hAnsiTheme="minorHAnsi"/>
        </w:rPr>
        <w:t xml:space="preserve">in cells </w:t>
      </w:r>
      <w:r w:rsidR="006C2C68">
        <w:rPr>
          <w:rFonts w:asciiTheme="minorHAnsi" w:hAnsiTheme="minorHAnsi"/>
        </w:rPr>
        <w:t>J3</w:t>
      </w:r>
      <w:r w:rsidR="00B36798">
        <w:rPr>
          <w:rFonts w:asciiTheme="minorHAnsi" w:hAnsiTheme="minorHAnsi"/>
        </w:rPr>
        <w:t xml:space="preserve">1 through </w:t>
      </w:r>
      <w:r w:rsidR="006C2C68">
        <w:rPr>
          <w:rFonts w:asciiTheme="minorHAnsi" w:hAnsiTheme="minorHAnsi"/>
        </w:rPr>
        <w:t>M3</w:t>
      </w:r>
      <w:r w:rsidR="00B36798">
        <w:rPr>
          <w:rFonts w:asciiTheme="minorHAnsi" w:hAnsiTheme="minorHAnsi"/>
        </w:rPr>
        <w:t xml:space="preserve">1. </w:t>
      </w:r>
      <w:r w:rsidR="006C2C68">
        <w:rPr>
          <w:rFonts w:asciiTheme="minorHAnsi" w:hAnsiTheme="minorHAnsi"/>
        </w:rPr>
        <w:t xml:space="preserve">Previously, average </w:t>
      </w:r>
      <w:r w:rsidR="00985FED">
        <w:rPr>
          <w:rFonts w:asciiTheme="minorHAnsi" w:hAnsiTheme="minorHAnsi"/>
        </w:rPr>
        <w:t xml:space="preserve">small group </w:t>
      </w:r>
      <w:r w:rsidR="006C2C68">
        <w:rPr>
          <w:rFonts w:asciiTheme="minorHAnsi" w:hAnsiTheme="minorHAnsi"/>
        </w:rPr>
        <w:t xml:space="preserve">rates were developed in Table 11 </w:t>
      </w:r>
      <w:r w:rsidR="009336B4">
        <w:rPr>
          <w:rFonts w:asciiTheme="minorHAnsi" w:hAnsiTheme="minorHAnsi"/>
        </w:rPr>
        <w:t>based on inputs from Table 5A.  The 2018 Department Guidance revises Table 5A in that an average trend factor is developed and used to backtrend the quarterly trend factors.  The 2018 Trend Factors by Quarter can now be used in Table 11 to develop the 1</w:t>
      </w:r>
      <w:r w:rsidR="009336B4" w:rsidRPr="00985FED">
        <w:rPr>
          <w:rFonts w:asciiTheme="minorHAnsi" w:hAnsiTheme="minorHAnsi"/>
          <w:vertAlign w:val="superscript"/>
        </w:rPr>
        <w:t>st</w:t>
      </w:r>
      <w:r w:rsidR="009336B4">
        <w:rPr>
          <w:rFonts w:asciiTheme="minorHAnsi" w:hAnsiTheme="minorHAnsi"/>
        </w:rPr>
        <w:t xml:space="preserve"> quarter 2018 </w:t>
      </w:r>
      <w:r w:rsidR="008B1E22">
        <w:rPr>
          <w:rFonts w:asciiTheme="minorHAnsi" w:hAnsiTheme="minorHAnsi"/>
        </w:rPr>
        <w:t xml:space="preserve">Consumer Adjusted Index Rate </w:t>
      </w:r>
      <w:r w:rsidR="009336B4">
        <w:rPr>
          <w:rFonts w:asciiTheme="minorHAnsi" w:hAnsiTheme="minorHAnsi"/>
        </w:rPr>
        <w:t xml:space="preserve">for a 21 year old consumer in a given rating area.   </w:t>
      </w:r>
    </w:p>
    <w:p w14:paraId="555F62E9" w14:textId="77777777" w:rsidR="00FA015D" w:rsidRPr="00BA64B4" w:rsidRDefault="00FA015D" w:rsidP="000D2C9D">
      <w:pPr>
        <w:pStyle w:val="Heading2"/>
        <w:rPr>
          <w:rFonts w:asciiTheme="minorHAnsi" w:hAnsiTheme="minorHAnsi"/>
        </w:rPr>
      </w:pPr>
      <w:bookmarkStart w:id="176" w:name="_Toc440553972"/>
      <w:bookmarkStart w:id="177" w:name="_Toc440555414"/>
      <w:bookmarkStart w:id="178" w:name="_Toc440555591"/>
      <w:bookmarkStart w:id="179" w:name="_Toc440555655"/>
      <w:bookmarkStart w:id="180" w:name="_Toc474316437"/>
      <w:r w:rsidRPr="00BA64B4">
        <w:rPr>
          <w:rFonts w:asciiTheme="minorHAnsi" w:hAnsiTheme="minorHAnsi"/>
        </w:rPr>
        <w:t>Retention Items</w:t>
      </w:r>
      <w:bookmarkEnd w:id="176"/>
      <w:bookmarkEnd w:id="177"/>
      <w:bookmarkEnd w:id="178"/>
      <w:bookmarkEnd w:id="179"/>
      <w:r w:rsidR="00DF34DE">
        <w:rPr>
          <w:rFonts w:asciiTheme="minorHAnsi" w:hAnsiTheme="minorHAnsi"/>
        </w:rPr>
        <w:t xml:space="preserve"> (Table 6)</w:t>
      </w:r>
      <w:bookmarkEnd w:id="180"/>
    </w:p>
    <w:p w14:paraId="47626899" w14:textId="77777777" w:rsidR="0082206C" w:rsidRPr="00BA64B4" w:rsidRDefault="00313C06" w:rsidP="00B47CAC">
      <w:pPr>
        <w:rPr>
          <w:rFonts w:asciiTheme="minorHAnsi" w:hAnsiTheme="minorHAnsi"/>
        </w:rPr>
      </w:pPr>
      <w:r>
        <w:rPr>
          <w:rFonts w:asciiTheme="minorHAnsi" w:hAnsiTheme="minorHAnsi"/>
        </w:rPr>
        <w:t>Complete Table 6 and, in the narrative, s</w:t>
      </w:r>
      <w:r w:rsidR="00211564" w:rsidRPr="00BA64B4">
        <w:rPr>
          <w:rFonts w:asciiTheme="minorHAnsi" w:hAnsiTheme="minorHAnsi"/>
        </w:rPr>
        <w:t>eparately i</w:t>
      </w:r>
      <w:r w:rsidR="000A5629" w:rsidRPr="00BA64B4">
        <w:rPr>
          <w:rFonts w:asciiTheme="minorHAnsi" w:hAnsiTheme="minorHAnsi"/>
        </w:rPr>
        <w:t>dentify all retention items</w:t>
      </w:r>
      <w:r w:rsidR="0062787D" w:rsidRPr="0062787D">
        <w:rPr>
          <w:rFonts w:asciiTheme="minorHAnsi" w:hAnsiTheme="minorHAnsi"/>
        </w:rPr>
        <w:t xml:space="preserve"> </w:t>
      </w:r>
      <w:r w:rsidR="0062787D">
        <w:rPr>
          <w:rFonts w:asciiTheme="minorHAnsi" w:hAnsiTheme="minorHAnsi"/>
        </w:rPr>
        <w:t>and s</w:t>
      </w:r>
      <w:r w:rsidR="0062787D" w:rsidRPr="00BA64B4">
        <w:rPr>
          <w:rFonts w:asciiTheme="minorHAnsi" w:hAnsiTheme="minorHAnsi"/>
        </w:rPr>
        <w:t xml:space="preserve">how the proposed percent of premium for the rating period. </w:t>
      </w:r>
      <w:r w:rsidR="0062787D">
        <w:rPr>
          <w:rFonts w:asciiTheme="minorHAnsi" w:hAnsiTheme="minorHAnsi"/>
        </w:rPr>
        <w:t xml:space="preserve">The values in Table 6 for total Administrative Expenses, total Taxes and Fees, and Profit/Contingency are imported from Table 10. Table 6 provides a breakdown of the administrative expenses and taxes and fees, and the broken out elements should sum to the total administrative expenses and taxes and fees. If they do not, explain why in the narrative. </w:t>
      </w:r>
      <w:r w:rsidR="007025DF" w:rsidRPr="00BA64B4">
        <w:rPr>
          <w:rFonts w:asciiTheme="minorHAnsi" w:hAnsiTheme="minorHAnsi"/>
        </w:rPr>
        <w:t>Provide documentation and supporting data for all changes in administrative expenses</w:t>
      </w:r>
      <w:r w:rsidR="005C5D9D" w:rsidRPr="00BA64B4">
        <w:rPr>
          <w:rFonts w:asciiTheme="minorHAnsi" w:hAnsiTheme="minorHAnsi"/>
        </w:rPr>
        <w:t xml:space="preserve"> including </w:t>
      </w:r>
      <w:r w:rsidR="000C3DAB" w:rsidRPr="00BA64B4">
        <w:rPr>
          <w:rFonts w:asciiTheme="minorHAnsi" w:hAnsiTheme="minorHAnsi"/>
        </w:rPr>
        <w:t>agent/</w:t>
      </w:r>
      <w:r w:rsidR="001954D0" w:rsidRPr="00BA64B4">
        <w:rPr>
          <w:rFonts w:asciiTheme="minorHAnsi" w:hAnsiTheme="minorHAnsi"/>
        </w:rPr>
        <w:t>broker fees and commissions</w:t>
      </w:r>
      <w:r w:rsidR="00F809CD" w:rsidRPr="00BA64B4">
        <w:rPr>
          <w:rFonts w:asciiTheme="minorHAnsi" w:hAnsiTheme="minorHAnsi"/>
        </w:rPr>
        <w:t xml:space="preserve"> </w:t>
      </w:r>
      <w:r w:rsidR="000C3DAB" w:rsidRPr="00BA64B4">
        <w:rPr>
          <w:rFonts w:asciiTheme="minorHAnsi" w:hAnsiTheme="minorHAnsi"/>
        </w:rPr>
        <w:t xml:space="preserve">and quality improvement initiatives, </w:t>
      </w:r>
      <w:r w:rsidR="001954D0" w:rsidRPr="00BA64B4">
        <w:rPr>
          <w:rFonts w:asciiTheme="minorHAnsi" w:hAnsiTheme="minorHAnsi"/>
        </w:rPr>
        <w:t xml:space="preserve">and taxes and fees, </w:t>
      </w:r>
      <w:r w:rsidR="00F809CD" w:rsidRPr="00BA64B4">
        <w:rPr>
          <w:rFonts w:asciiTheme="minorHAnsi" w:hAnsiTheme="minorHAnsi"/>
        </w:rPr>
        <w:t xml:space="preserve">separately identified.  </w:t>
      </w:r>
      <w:r w:rsidR="00F12F7F" w:rsidRPr="00BA64B4">
        <w:rPr>
          <w:rFonts w:asciiTheme="minorHAnsi" w:hAnsiTheme="minorHAnsi"/>
        </w:rPr>
        <w:t>Please note</w:t>
      </w:r>
      <w:r w:rsidR="0082206C" w:rsidRPr="00BA64B4">
        <w:rPr>
          <w:rFonts w:asciiTheme="minorHAnsi" w:hAnsiTheme="minorHAnsi"/>
        </w:rPr>
        <w:t xml:space="preserve"> the following:</w:t>
      </w:r>
    </w:p>
    <w:p w14:paraId="25539B43" w14:textId="77777777" w:rsidR="008D5C02" w:rsidRDefault="008D5C02" w:rsidP="008D5C02">
      <w:pPr>
        <w:pStyle w:val="ListParagraph"/>
        <w:numPr>
          <w:ilvl w:val="0"/>
          <w:numId w:val="5"/>
        </w:numPr>
        <w:rPr>
          <w:rFonts w:asciiTheme="minorHAnsi" w:hAnsiTheme="minorHAnsi"/>
        </w:rPr>
      </w:pPr>
      <w:r>
        <w:rPr>
          <w:rFonts w:asciiTheme="minorHAnsi" w:hAnsiTheme="minorHAnsi"/>
        </w:rPr>
        <w:t xml:space="preserve">The narrative should discuss the development of the average commission and circumstances in which broker commissions will be paid and if they will vary based on geographic location, metal level, plan, open enrollment vs SEP enrollment, etc.  Additionally, the current and 2018 broker agreements should be included. </w:t>
      </w:r>
    </w:p>
    <w:p w14:paraId="13781F7A" w14:textId="77777777" w:rsidR="00260C84" w:rsidRPr="00BA64B4" w:rsidRDefault="008B4F65" w:rsidP="007E6C90">
      <w:pPr>
        <w:pStyle w:val="ListParagraph"/>
        <w:numPr>
          <w:ilvl w:val="0"/>
          <w:numId w:val="5"/>
        </w:numPr>
        <w:rPr>
          <w:rFonts w:asciiTheme="minorHAnsi" w:hAnsiTheme="minorHAnsi"/>
        </w:rPr>
      </w:pPr>
      <w:r w:rsidRPr="00BA64B4">
        <w:rPr>
          <w:rFonts w:asciiTheme="minorHAnsi" w:hAnsiTheme="minorHAnsi"/>
        </w:rPr>
        <w:t>I</w:t>
      </w:r>
      <w:r w:rsidR="00F12F7F" w:rsidRPr="00BA64B4">
        <w:rPr>
          <w:rFonts w:asciiTheme="minorHAnsi" w:hAnsiTheme="minorHAnsi"/>
        </w:rPr>
        <w:t xml:space="preserve">f </w:t>
      </w:r>
      <w:r w:rsidR="009362FE" w:rsidRPr="00BA64B4">
        <w:rPr>
          <w:rFonts w:asciiTheme="minorHAnsi" w:hAnsiTheme="minorHAnsi"/>
        </w:rPr>
        <w:t>profit, contribution to surplus or risk margins</w:t>
      </w:r>
      <w:r w:rsidR="00F12F7F" w:rsidRPr="00BA64B4">
        <w:rPr>
          <w:rFonts w:asciiTheme="minorHAnsi" w:hAnsiTheme="minorHAnsi"/>
        </w:rPr>
        <w:t xml:space="preserve"> is included in the rate development, the Department </w:t>
      </w:r>
      <w:r w:rsidR="001954D0" w:rsidRPr="00BA64B4">
        <w:rPr>
          <w:rFonts w:asciiTheme="minorHAnsi" w:hAnsiTheme="minorHAnsi"/>
        </w:rPr>
        <w:t>expects</w:t>
      </w:r>
      <w:r w:rsidR="00F12F7F" w:rsidRPr="00BA64B4">
        <w:rPr>
          <w:rFonts w:asciiTheme="minorHAnsi" w:hAnsiTheme="minorHAnsi"/>
        </w:rPr>
        <w:t xml:space="preserve"> a consistent </w:t>
      </w:r>
      <w:r w:rsidR="0082206C" w:rsidRPr="00BA64B4">
        <w:rPr>
          <w:rFonts w:asciiTheme="minorHAnsi" w:hAnsiTheme="minorHAnsi"/>
        </w:rPr>
        <w:t xml:space="preserve">percent of premium </w:t>
      </w:r>
      <w:r w:rsidR="00F12F7F" w:rsidRPr="00BA64B4">
        <w:rPr>
          <w:rFonts w:asciiTheme="minorHAnsi" w:hAnsiTheme="minorHAnsi"/>
        </w:rPr>
        <w:t>load for all plans.</w:t>
      </w:r>
      <w:r w:rsidR="00313C06">
        <w:rPr>
          <w:rFonts w:asciiTheme="minorHAnsi" w:hAnsiTheme="minorHAnsi"/>
        </w:rPr>
        <w:t xml:space="preserve"> If the profit, </w:t>
      </w:r>
      <w:r w:rsidR="00313C06" w:rsidRPr="00BA64B4">
        <w:rPr>
          <w:rFonts w:asciiTheme="minorHAnsi" w:hAnsiTheme="minorHAnsi"/>
        </w:rPr>
        <w:t>contribution</w:t>
      </w:r>
      <w:r w:rsidR="00313C06">
        <w:rPr>
          <w:rFonts w:asciiTheme="minorHAnsi" w:hAnsiTheme="minorHAnsi"/>
        </w:rPr>
        <w:t xml:space="preserve"> to surplus, or risk margin does vary by plan, explain why the variation is not discriminatory.</w:t>
      </w:r>
    </w:p>
    <w:p w14:paraId="025C3F66" w14:textId="77777777" w:rsidR="002B587B" w:rsidRDefault="002B587B" w:rsidP="007E6C90">
      <w:pPr>
        <w:pStyle w:val="ListParagraph"/>
        <w:numPr>
          <w:ilvl w:val="0"/>
          <w:numId w:val="5"/>
        </w:numPr>
        <w:rPr>
          <w:rFonts w:asciiTheme="minorHAnsi" w:hAnsiTheme="minorHAnsi"/>
        </w:rPr>
      </w:pPr>
      <w:r w:rsidRPr="00BA64B4">
        <w:rPr>
          <w:rFonts w:asciiTheme="minorHAnsi" w:hAnsiTheme="minorHAnsi"/>
        </w:rPr>
        <w:t>If the administrative expenses vary by plan</w:t>
      </w:r>
      <w:r w:rsidR="00CA1616" w:rsidRPr="00BA64B4">
        <w:rPr>
          <w:rFonts w:asciiTheme="minorHAnsi" w:hAnsiTheme="minorHAnsi"/>
        </w:rPr>
        <w:t>,</w:t>
      </w:r>
      <w:r w:rsidRPr="00BA64B4">
        <w:rPr>
          <w:rFonts w:asciiTheme="minorHAnsi" w:hAnsiTheme="minorHAnsi"/>
        </w:rPr>
        <w:t xml:space="preserve"> explain why</w:t>
      </w:r>
      <w:r w:rsidR="00CA1616" w:rsidRPr="00BA64B4">
        <w:rPr>
          <w:rFonts w:asciiTheme="minorHAnsi" w:hAnsiTheme="minorHAnsi"/>
        </w:rPr>
        <w:t xml:space="preserve"> in the narrative</w:t>
      </w:r>
      <w:r w:rsidRPr="00BA64B4">
        <w:rPr>
          <w:rFonts w:asciiTheme="minorHAnsi" w:hAnsiTheme="minorHAnsi"/>
        </w:rPr>
        <w:t xml:space="preserve">. </w:t>
      </w:r>
    </w:p>
    <w:p w14:paraId="27F8E8C0" w14:textId="77777777" w:rsidR="005E4486" w:rsidRPr="00BA64B4" w:rsidRDefault="005E4486" w:rsidP="007E6C90">
      <w:pPr>
        <w:pStyle w:val="ListParagraph"/>
        <w:numPr>
          <w:ilvl w:val="0"/>
          <w:numId w:val="5"/>
        </w:numPr>
        <w:rPr>
          <w:rFonts w:asciiTheme="minorHAnsi" w:hAnsiTheme="minorHAnsi"/>
        </w:rPr>
      </w:pPr>
      <w:r>
        <w:rPr>
          <w:rFonts w:asciiTheme="minorHAnsi" w:hAnsiTheme="minorHAnsi"/>
        </w:rPr>
        <w:t>Cell B54 is now unprotected to allow for the entry of the PCORI dollar amount, whereas cell C54 requires a percentage entry.</w:t>
      </w:r>
    </w:p>
    <w:p w14:paraId="1305C62D" w14:textId="77777777" w:rsidR="00F124A8" w:rsidRPr="00BA64B4" w:rsidRDefault="0069124C" w:rsidP="00F124A8">
      <w:pPr>
        <w:pStyle w:val="Heading2"/>
        <w:rPr>
          <w:rFonts w:asciiTheme="minorHAnsi" w:hAnsiTheme="minorHAnsi"/>
        </w:rPr>
      </w:pPr>
      <w:bookmarkStart w:id="181" w:name="_Toc440553973"/>
      <w:bookmarkStart w:id="182" w:name="_Toc440555415"/>
      <w:bookmarkStart w:id="183" w:name="_Toc440555592"/>
      <w:bookmarkStart w:id="184" w:name="_Toc440555656"/>
      <w:bookmarkStart w:id="185" w:name="_Toc474316438"/>
      <w:r w:rsidRPr="00BA64B4">
        <w:rPr>
          <w:rFonts w:asciiTheme="minorHAnsi" w:hAnsiTheme="minorHAnsi"/>
        </w:rPr>
        <w:t>Normalized Market-Adjusted Projected Allowed Total Claims</w:t>
      </w:r>
      <w:bookmarkEnd w:id="181"/>
      <w:bookmarkEnd w:id="182"/>
      <w:bookmarkEnd w:id="183"/>
      <w:bookmarkEnd w:id="184"/>
      <w:r w:rsidR="00DF34DE">
        <w:rPr>
          <w:rFonts w:asciiTheme="minorHAnsi" w:hAnsiTheme="minorHAnsi"/>
        </w:rPr>
        <w:t xml:space="preserve"> (Table 7)</w:t>
      </w:r>
      <w:bookmarkEnd w:id="185"/>
    </w:p>
    <w:p w14:paraId="5F906E35" w14:textId="77777777" w:rsidR="002A079F" w:rsidRDefault="00F124A8" w:rsidP="00662BE3">
      <w:pPr>
        <w:rPr>
          <w:rFonts w:asciiTheme="minorHAnsi" w:hAnsiTheme="minorHAnsi"/>
        </w:rPr>
      </w:pPr>
      <w:r w:rsidRPr="00BA64B4">
        <w:rPr>
          <w:rFonts w:asciiTheme="minorHAnsi" w:hAnsiTheme="minorHAnsi"/>
        </w:rPr>
        <w:t xml:space="preserve">The projected data is on an average basis. </w:t>
      </w:r>
      <w:r w:rsidR="00C40810" w:rsidRPr="00BA64B4">
        <w:rPr>
          <w:rFonts w:asciiTheme="minorHAnsi" w:hAnsiTheme="minorHAnsi"/>
        </w:rPr>
        <w:t xml:space="preserve">To </w:t>
      </w:r>
      <w:r w:rsidRPr="00BA64B4">
        <w:rPr>
          <w:rFonts w:asciiTheme="minorHAnsi" w:hAnsiTheme="minorHAnsi"/>
        </w:rPr>
        <w:t xml:space="preserve">more appropriately compare </w:t>
      </w:r>
      <w:r w:rsidR="00002997" w:rsidRPr="00BA64B4">
        <w:rPr>
          <w:rFonts w:asciiTheme="minorHAnsi" w:hAnsiTheme="minorHAnsi"/>
        </w:rPr>
        <w:t xml:space="preserve">the </w:t>
      </w:r>
      <w:r w:rsidRPr="00BA64B4">
        <w:rPr>
          <w:rFonts w:asciiTheme="minorHAnsi" w:hAnsiTheme="minorHAnsi"/>
        </w:rPr>
        <w:t xml:space="preserve">average year-over-year </w:t>
      </w:r>
      <w:r w:rsidR="00002997" w:rsidRPr="00BA64B4">
        <w:rPr>
          <w:rFonts w:asciiTheme="minorHAnsi" w:hAnsiTheme="minorHAnsi"/>
        </w:rPr>
        <w:t xml:space="preserve">rate change, as is done in Table </w:t>
      </w:r>
      <w:r w:rsidR="00313C06">
        <w:rPr>
          <w:rFonts w:asciiTheme="minorHAnsi" w:hAnsiTheme="minorHAnsi"/>
        </w:rPr>
        <w:t>8</w:t>
      </w:r>
      <w:r w:rsidR="00C40810" w:rsidRPr="00BA64B4">
        <w:rPr>
          <w:rFonts w:asciiTheme="minorHAnsi" w:hAnsiTheme="minorHAnsi"/>
        </w:rPr>
        <w:t xml:space="preserve">, </w:t>
      </w:r>
      <w:r w:rsidRPr="00BA64B4">
        <w:rPr>
          <w:rFonts w:asciiTheme="minorHAnsi" w:hAnsiTheme="minorHAnsi"/>
        </w:rPr>
        <w:t>a normalization</w:t>
      </w:r>
      <w:r w:rsidR="00C40810" w:rsidRPr="00BA64B4">
        <w:rPr>
          <w:rFonts w:asciiTheme="minorHAnsi" w:hAnsiTheme="minorHAnsi"/>
        </w:rPr>
        <w:t xml:space="preserve"> process is </w:t>
      </w:r>
      <w:r w:rsidR="002A079F">
        <w:rPr>
          <w:rFonts w:asciiTheme="minorHAnsi" w:hAnsiTheme="minorHAnsi"/>
        </w:rPr>
        <w:t>performed in Table 7</w:t>
      </w:r>
      <w:r w:rsidR="00002997" w:rsidRPr="00BA64B4">
        <w:rPr>
          <w:rFonts w:asciiTheme="minorHAnsi" w:hAnsiTheme="minorHAnsi"/>
        </w:rPr>
        <w:t>. To normalize,</w:t>
      </w:r>
      <w:r w:rsidR="00C912A2" w:rsidRPr="00BA64B4">
        <w:rPr>
          <w:rFonts w:asciiTheme="minorHAnsi" w:hAnsiTheme="minorHAnsi"/>
        </w:rPr>
        <w:t xml:space="preserve"> </w:t>
      </w:r>
      <w:r w:rsidR="00E31EA5" w:rsidRPr="00BA64B4">
        <w:rPr>
          <w:rFonts w:asciiTheme="minorHAnsi" w:hAnsiTheme="minorHAnsi"/>
        </w:rPr>
        <w:t>the</w:t>
      </w:r>
      <w:r w:rsidR="0069124C" w:rsidRPr="00BA64B4">
        <w:rPr>
          <w:rFonts w:asciiTheme="minorHAnsi" w:hAnsiTheme="minorHAnsi"/>
        </w:rPr>
        <w:t xml:space="preserve"> Market-Adjusted Projected Allowed Total Claims </w:t>
      </w:r>
      <w:r w:rsidR="001954D0" w:rsidRPr="00BA64B4">
        <w:rPr>
          <w:rFonts w:asciiTheme="minorHAnsi" w:hAnsiTheme="minorHAnsi"/>
        </w:rPr>
        <w:t xml:space="preserve">PMPM from table </w:t>
      </w:r>
      <w:r w:rsidR="00E15CCE">
        <w:rPr>
          <w:rFonts w:asciiTheme="minorHAnsi" w:hAnsiTheme="minorHAnsi"/>
        </w:rPr>
        <w:t>5</w:t>
      </w:r>
      <w:r w:rsidR="001954D0" w:rsidRPr="00BA64B4">
        <w:rPr>
          <w:rFonts w:asciiTheme="minorHAnsi" w:hAnsiTheme="minorHAnsi"/>
        </w:rPr>
        <w:t xml:space="preserve">, cell </w:t>
      </w:r>
      <w:r w:rsidR="00F8640C">
        <w:rPr>
          <w:rFonts w:asciiTheme="minorHAnsi" w:hAnsiTheme="minorHAnsi"/>
        </w:rPr>
        <w:t>I57</w:t>
      </w:r>
      <w:r w:rsidR="00F8640C" w:rsidRPr="00BA64B4">
        <w:rPr>
          <w:rFonts w:asciiTheme="minorHAnsi" w:hAnsiTheme="minorHAnsi"/>
        </w:rPr>
        <w:t xml:space="preserve"> </w:t>
      </w:r>
      <w:r w:rsidR="00E15CCE">
        <w:rPr>
          <w:rFonts w:asciiTheme="minorHAnsi" w:hAnsiTheme="minorHAnsi"/>
        </w:rPr>
        <w:t>is</w:t>
      </w:r>
      <w:r w:rsidR="00E15CCE" w:rsidRPr="00BA64B4">
        <w:rPr>
          <w:rFonts w:asciiTheme="minorHAnsi" w:hAnsiTheme="minorHAnsi"/>
        </w:rPr>
        <w:t xml:space="preserve"> </w:t>
      </w:r>
      <w:r w:rsidR="0069124C" w:rsidRPr="00BA64B4">
        <w:rPr>
          <w:rFonts w:asciiTheme="minorHAnsi" w:hAnsiTheme="minorHAnsi"/>
        </w:rPr>
        <w:t>normalize</w:t>
      </w:r>
      <w:r w:rsidR="00E15CCE">
        <w:rPr>
          <w:rFonts w:asciiTheme="minorHAnsi" w:hAnsiTheme="minorHAnsi"/>
        </w:rPr>
        <w:t>d</w:t>
      </w:r>
      <w:r w:rsidR="0069124C" w:rsidRPr="00BA64B4">
        <w:rPr>
          <w:rFonts w:asciiTheme="minorHAnsi" w:hAnsiTheme="minorHAnsi"/>
        </w:rPr>
        <w:t xml:space="preserve"> </w:t>
      </w:r>
      <w:r w:rsidR="00002997" w:rsidRPr="00BA64B4">
        <w:rPr>
          <w:rFonts w:asciiTheme="minorHAnsi" w:hAnsiTheme="minorHAnsi"/>
        </w:rPr>
        <w:t>using the projected average factors for</w:t>
      </w:r>
      <w:r w:rsidR="0069124C" w:rsidRPr="00BA64B4">
        <w:rPr>
          <w:rFonts w:asciiTheme="minorHAnsi" w:hAnsiTheme="minorHAnsi"/>
        </w:rPr>
        <w:t xml:space="preserve"> age, </w:t>
      </w:r>
      <w:r w:rsidR="001954D0" w:rsidRPr="00BA64B4">
        <w:rPr>
          <w:rFonts w:asciiTheme="minorHAnsi" w:hAnsiTheme="minorHAnsi"/>
        </w:rPr>
        <w:t>geography</w:t>
      </w:r>
      <w:r w:rsidR="0069124C" w:rsidRPr="00BA64B4">
        <w:rPr>
          <w:rFonts w:asciiTheme="minorHAnsi" w:hAnsiTheme="minorHAnsi"/>
        </w:rPr>
        <w:t xml:space="preserve">, tobacco, </w:t>
      </w:r>
      <w:r w:rsidR="00313C06">
        <w:rPr>
          <w:rFonts w:asciiTheme="minorHAnsi" w:hAnsiTheme="minorHAnsi"/>
        </w:rPr>
        <w:t>benefit richness (</w:t>
      </w:r>
      <w:r w:rsidR="00002997" w:rsidRPr="00BA64B4">
        <w:rPr>
          <w:rFonts w:asciiTheme="minorHAnsi" w:hAnsiTheme="minorHAnsi"/>
        </w:rPr>
        <w:t>induced demand</w:t>
      </w:r>
      <w:r w:rsidR="00313C06">
        <w:rPr>
          <w:rFonts w:asciiTheme="minorHAnsi" w:hAnsiTheme="minorHAnsi"/>
        </w:rPr>
        <w:t>), and network</w:t>
      </w:r>
      <w:r w:rsidR="00A027B1" w:rsidRPr="00BA64B4">
        <w:rPr>
          <w:rFonts w:asciiTheme="minorHAnsi" w:hAnsiTheme="minorHAnsi"/>
        </w:rPr>
        <w:t xml:space="preserve">.  </w:t>
      </w:r>
    </w:p>
    <w:p w14:paraId="42E0DA7E" w14:textId="77777777" w:rsidR="002A079F" w:rsidRDefault="002A079F" w:rsidP="00662BE3">
      <w:pPr>
        <w:rPr>
          <w:rFonts w:asciiTheme="minorHAnsi" w:hAnsiTheme="minorHAnsi"/>
        </w:rPr>
      </w:pPr>
    </w:p>
    <w:p w14:paraId="472AFB8D" w14:textId="77777777" w:rsidR="00F124A8" w:rsidRPr="00BA64B4" w:rsidRDefault="00E15CCE" w:rsidP="00662BE3">
      <w:pPr>
        <w:rPr>
          <w:rFonts w:asciiTheme="minorHAnsi" w:hAnsiTheme="minorHAnsi"/>
        </w:rPr>
      </w:pPr>
      <w:r>
        <w:rPr>
          <w:rFonts w:asciiTheme="minorHAnsi" w:hAnsiTheme="minorHAnsi"/>
        </w:rPr>
        <w:t>P</w:t>
      </w:r>
      <w:r w:rsidR="002A079F">
        <w:rPr>
          <w:rFonts w:asciiTheme="minorHAnsi" w:hAnsiTheme="minorHAnsi"/>
        </w:rPr>
        <w:t>rovide the 201</w:t>
      </w:r>
      <w:r w:rsidR="00F8640C">
        <w:rPr>
          <w:rFonts w:asciiTheme="minorHAnsi" w:hAnsiTheme="minorHAnsi"/>
        </w:rPr>
        <w:t>7</w:t>
      </w:r>
      <w:r w:rsidR="002A079F">
        <w:rPr>
          <w:rFonts w:asciiTheme="minorHAnsi" w:hAnsiTheme="minorHAnsi"/>
        </w:rPr>
        <w:t xml:space="preserve"> </w:t>
      </w:r>
      <w:r w:rsidR="002A079F" w:rsidRPr="002A079F">
        <w:rPr>
          <w:rFonts w:asciiTheme="minorHAnsi" w:hAnsiTheme="minorHAnsi"/>
        </w:rPr>
        <w:t>Market-Adjusted Projected Allowed Total Claims PMPM</w:t>
      </w:r>
      <w:r w:rsidR="00601496">
        <w:rPr>
          <w:rFonts w:asciiTheme="minorHAnsi" w:hAnsiTheme="minorHAnsi"/>
        </w:rPr>
        <w:t xml:space="preserve"> and the</w:t>
      </w:r>
      <w:r w:rsidR="002A079F">
        <w:rPr>
          <w:rFonts w:asciiTheme="minorHAnsi" w:hAnsiTheme="minorHAnsi"/>
        </w:rPr>
        <w:t xml:space="preserve"> 201</w:t>
      </w:r>
      <w:r w:rsidR="00F8640C">
        <w:rPr>
          <w:rFonts w:asciiTheme="minorHAnsi" w:hAnsiTheme="minorHAnsi"/>
        </w:rPr>
        <w:t>7</w:t>
      </w:r>
      <w:r w:rsidR="002A079F">
        <w:rPr>
          <w:rFonts w:asciiTheme="minorHAnsi" w:hAnsiTheme="minorHAnsi"/>
        </w:rPr>
        <w:t xml:space="preserve"> normalization factors</w:t>
      </w:r>
      <w:r w:rsidR="00601496">
        <w:rPr>
          <w:rFonts w:asciiTheme="minorHAnsi" w:hAnsiTheme="minorHAnsi"/>
        </w:rPr>
        <w:t xml:space="preserve">. </w:t>
      </w:r>
      <w:r w:rsidR="008430E5">
        <w:rPr>
          <w:rFonts w:asciiTheme="minorHAnsi" w:hAnsiTheme="minorHAnsi"/>
        </w:rPr>
        <w:t xml:space="preserve"> These numbers should match the numbers provided in the plan year 2017 rate filing.</w:t>
      </w:r>
      <w:r w:rsidR="00601496">
        <w:rPr>
          <w:rFonts w:asciiTheme="minorHAnsi" w:hAnsiTheme="minorHAnsi"/>
        </w:rPr>
        <w:t xml:space="preserve"> </w:t>
      </w:r>
      <w:r w:rsidR="002A079F">
        <w:rPr>
          <w:rFonts w:asciiTheme="minorHAnsi" w:hAnsiTheme="minorHAnsi"/>
        </w:rPr>
        <w:t xml:space="preserve"> </w:t>
      </w:r>
      <w:r w:rsidR="00601496">
        <w:rPr>
          <w:rFonts w:asciiTheme="minorHAnsi" w:hAnsiTheme="minorHAnsi"/>
        </w:rPr>
        <w:t>T</w:t>
      </w:r>
      <w:r w:rsidR="002A079F">
        <w:rPr>
          <w:rFonts w:asciiTheme="minorHAnsi" w:hAnsiTheme="minorHAnsi"/>
        </w:rPr>
        <w:t>he 201</w:t>
      </w:r>
      <w:r w:rsidR="00F8640C">
        <w:rPr>
          <w:rFonts w:asciiTheme="minorHAnsi" w:hAnsiTheme="minorHAnsi"/>
        </w:rPr>
        <w:t>7</w:t>
      </w:r>
      <w:r w:rsidR="002A079F">
        <w:rPr>
          <w:rFonts w:asciiTheme="minorHAnsi" w:hAnsiTheme="minorHAnsi"/>
        </w:rPr>
        <w:t xml:space="preserve"> </w:t>
      </w:r>
      <w:r w:rsidR="002A079F" w:rsidRPr="002A079F">
        <w:rPr>
          <w:rFonts w:asciiTheme="minorHAnsi" w:hAnsiTheme="minorHAnsi"/>
        </w:rPr>
        <w:t>Normalized Market-Adjusted Projected Allowed Total Claims PMPM</w:t>
      </w:r>
      <w:r w:rsidR="00601496">
        <w:rPr>
          <w:rFonts w:asciiTheme="minorHAnsi" w:hAnsiTheme="minorHAnsi"/>
        </w:rPr>
        <w:t xml:space="preserve"> is auto-calculated based on the </w:t>
      </w:r>
      <w:r w:rsidR="008430E5">
        <w:rPr>
          <w:rFonts w:asciiTheme="minorHAnsi" w:hAnsiTheme="minorHAnsi"/>
        </w:rPr>
        <w:t xml:space="preserve">2017 </w:t>
      </w:r>
      <w:r w:rsidR="00601496">
        <w:rPr>
          <w:rFonts w:asciiTheme="minorHAnsi" w:hAnsiTheme="minorHAnsi"/>
        </w:rPr>
        <w:t>input data</w:t>
      </w:r>
      <w:r w:rsidR="002A079F">
        <w:rPr>
          <w:rFonts w:asciiTheme="minorHAnsi" w:hAnsiTheme="minorHAnsi"/>
        </w:rPr>
        <w:t>.</w:t>
      </w:r>
    </w:p>
    <w:p w14:paraId="570119A7" w14:textId="77777777" w:rsidR="00F124A8" w:rsidRPr="00BA64B4" w:rsidRDefault="00F124A8" w:rsidP="00662BE3">
      <w:pPr>
        <w:rPr>
          <w:rFonts w:asciiTheme="minorHAnsi" w:hAnsiTheme="minorHAnsi"/>
        </w:rPr>
      </w:pPr>
    </w:p>
    <w:p w14:paraId="6041F5CE" w14:textId="77777777" w:rsidR="00F124A8" w:rsidRPr="00BA64B4" w:rsidRDefault="00F124A8" w:rsidP="00F124A8">
      <w:pPr>
        <w:rPr>
          <w:rFonts w:asciiTheme="minorHAnsi" w:hAnsiTheme="minorHAnsi"/>
        </w:rPr>
      </w:pPr>
      <w:r w:rsidRPr="00BA64B4">
        <w:rPr>
          <w:rFonts w:asciiTheme="minorHAnsi" w:hAnsiTheme="minorHAnsi"/>
        </w:rPr>
        <w:t xml:space="preserve">Show the development of each </w:t>
      </w:r>
      <w:r w:rsidR="005F3BD5" w:rsidRPr="00BA64B4">
        <w:rPr>
          <w:rFonts w:asciiTheme="minorHAnsi" w:hAnsiTheme="minorHAnsi"/>
        </w:rPr>
        <w:t>normalization factor</w:t>
      </w:r>
      <w:r w:rsidR="002A079F">
        <w:rPr>
          <w:rFonts w:asciiTheme="minorHAnsi" w:hAnsiTheme="minorHAnsi"/>
        </w:rPr>
        <w:t xml:space="preserve"> and explain changes between </w:t>
      </w:r>
      <w:r w:rsidR="00F8640C">
        <w:rPr>
          <w:rFonts w:asciiTheme="minorHAnsi" w:hAnsiTheme="minorHAnsi"/>
        </w:rPr>
        <w:t xml:space="preserve">2017 </w:t>
      </w:r>
      <w:r w:rsidR="002A079F">
        <w:rPr>
          <w:rFonts w:asciiTheme="minorHAnsi" w:hAnsiTheme="minorHAnsi"/>
        </w:rPr>
        <w:t xml:space="preserve">and </w:t>
      </w:r>
      <w:r w:rsidR="00F8640C">
        <w:rPr>
          <w:rFonts w:asciiTheme="minorHAnsi" w:hAnsiTheme="minorHAnsi"/>
        </w:rPr>
        <w:t xml:space="preserve">2018 </w:t>
      </w:r>
      <w:r w:rsidR="002A079F">
        <w:rPr>
          <w:rFonts w:asciiTheme="minorHAnsi" w:hAnsiTheme="minorHAnsi"/>
        </w:rPr>
        <w:t>factors</w:t>
      </w:r>
      <w:r w:rsidRPr="00BA64B4">
        <w:rPr>
          <w:rFonts w:asciiTheme="minorHAnsi" w:hAnsiTheme="minorHAnsi"/>
        </w:rPr>
        <w:t xml:space="preserve">.  </w:t>
      </w:r>
      <w:r w:rsidR="005F3BD5" w:rsidRPr="00BA64B4">
        <w:rPr>
          <w:rFonts w:asciiTheme="minorHAnsi" w:hAnsiTheme="minorHAnsi"/>
        </w:rPr>
        <w:t>Normalization factors</w:t>
      </w:r>
      <w:r w:rsidRPr="00BA64B4">
        <w:rPr>
          <w:rFonts w:asciiTheme="minorHAnsi" w:hAnsiTheme="minorHAnsi"/>
        </w:rPr>
        <w:t xml:space="preserve"> should be based on the projection period member population.  </w:t>
      </w:r>
      <w:r w:rsidR="002A079F">
        <w:rPr>
          <w:rFonts w:asciiTheme="minorHAnsi" w:hAnsiTheme="minorHAnsi"/>
        </w:rPr>
        <w:t>T</w:t>
      </w:r>
      <w:r w:rsidRPr="00BA64B4">
        <w:rPr>
          <w:rFonts w:asciiTheme="minorHAnsi" w:hAnsiTheme="minorHAnsi"/>
        </w:rPr>
        <w:t xml:space="preserve">he average age factor </w:t>
      </w:r>
      <w:r w:rsidR="002A079F">
        <w:rPr>
          <w:rFonts w:asciiTheme="minorHAnsi" w:hAnsiTheme="minorHAnsi"/>
        </w:rPr>
        <w:t xml:space="preserve">may include </w:t>
      </w:r>
      <w:r w:rsidR="000C5797">
        <w:rPr>
          <w:rFonts w:asciiTheme="minorHAnsi" w:hAnsiTheme="minorHAnsi"/>
        </w:rPr>
        <w:t xml:space="preserve">a factor of 0 for </w:t>
      </w:r>
      <w:r w:rsidR="002A079F">
        <w:rPr>
          <w:rFonts w:asciiTheme="minorHAnsi" w:hAnsiTheme="minorHAnsi"/>
        </w:rPr>
        <w:t>non-billable members, i.e., dependents in</w:t>
      </w:r>
      <w:r w:rsidRPr="00BA64B4">
        <w:rPr>
          <w:rFonts w:asciiTheme="minorHAnsi" w:hAnsiTheme="minorHAnsi"/>
        </w:rPr>
        <w:t xml:space="preserve"> excess of the 3 child max. </w:t>
      </w:r>
    </w:p>
    <w:p w14:paraId="5D7FCD61" w14:textId="77777777" w:rsidR="00A17D9F" w:rsidRDefault="00A17D9F" w:rsidP="000D2C9D">
      <w:pPr>
        <w:pStyle w:val="Heading2"/>
        <w:rPr>
          <w:rFonts w:asciiTheme="minorHAnsi" w:hAnsiTheme="minorHAnsi"/>
        </w:rPr>
      </w:pPr>
      <w:bookmarkStart w:id="186" w:name="_Toc440553974"/>
      <w:bookmarkStart w:id="187" w:name="_Toc440555416"/>
      <w:bookmarkStart w:id="188" w:name="_Toc440555593"/>
      <w:bookmarkStart w:id="189" w:name="_Toc440555657"/>
      <w:bookmarkStart w:id="190" w:name="_Toc474316439"/>
      <w:r>
        <w:rPr>
          <w:rFonts w:asciiTheme="minorHAnsi" w:hAnsiTheme="minorHAnsi"/>
        </w:rPr>
        <w:t>Components of Rate Change</w:t>
      </w:r>
      <w:r w:rsidR="00DF34DE">
        <w:rPr>
          <w:rFonts w:asciiTheme="minorHAnsi" w:hAnsiTheme="minorHAnsi"/>
        </w:rPr>
        <w:t xml:space="preserve"> (Tables 8 and 9)</w:t>
      </w:r>
      <w:bookmarkEnd w:id="190"/>
      <w:r w:rsidR="00DF34DE">
        <w:rPr>
          <w:rFonts w:asciiTheme="minorHAnsi" w:hAnsiTheme="minorHAnsi"/>
        </w:rPr>
        <w:t xml:space="preserve"> </w:t>
      </w:r>
    </w:p>
    <w:p w14:paraId="0AF6F183" w14:textId="77777777" w:rsidR="00A55B42" w:rsidRDefault="00A17D9F" w:rsidP="00A17D9F">
      <w:pPr>
        <w:rPr>
          <w:rFonts w:asciiTheme="minorHAnsi" w:hAnsiTheme="minorHAnsi"/>
          <w:szCs w:val="22"/>
        </w:rPr>
      </w:pPr>
      <w:r w:rsidRPr="00BA64B4" w:rsidDel="00A17D9F">
        <w:rPr>
          <w:rFonts w:asciiTheme="minorHAnsi" w:hAnsiTheme="minorHAnsi"/>
          <w:szCs w:val="22"/>
        </w:rPr>
        <w:t xml:space="preserve">Document the components of change in the proposed </w:t>
      </w:r>
      <w:r w:rsidR="00F8640C" w:rsidRPr="00BA64B4" w:rsidDel="00A17D9F">
        <w:rPr>
          <w:rFonts w:asciiTheme="minorHAnsi" w:hAnsiTheme="minorHAnsi"/>
          <w:szCs w:val="22"/>
        </w:rPr>
        <w:t>201</w:t>
      </w:r>
      <w:r w:rsidR="00F8640C">
        <w:rPr>
          <w:rFonts w:asciiTheme="minorHAnsi" w:hAnsiTheme="minorHAnsi"/>
          <w:szCs w:val="22"/>
        </w:rPr>
        <w:t>8</w:t>
      </w:r>
      <w:r w:rsidR="008430E5">
        <w:rPr>
          <w:rFonts w:asciiTheme="minorHAnsi" w:hAnsiTheme="minorHAnsi"/>
          <w:szCs w:val="22"/>
        </w:rPr>
        <w:t xml:space="preserve"> </w:t>
      </w:r>
      <w:r w:rsidRPr="00A17D9F">
        <w:rPr>
          <w:rFonts w:asciiTheme="minorHAnsi" w:hAnsiTheme="minorHAnsi"/>
          <w:szCs w:val="22"/>
        </w:rPr>
        <w:t>Calibrated Plan Adjusted Index Rate (PMPM)</w:t>
      </w:r>
      <w:r w:rsidR="00A55B42">
        <w:rPr>
          <w:rFonts w:asciiTheme="minorHAnsi" w:hAnsiTheme="minorHAnsi"/>
          <w:szCs w:val="22"/>
        </w:rPr>
        <w:t>.</w:t>
      </w:r>
    </w:p>
    <w:p w14:paraId="3E9BD7F3" w14:textId="77777777" w:rsidR="00A17D9F" w:rsidRPr="00BA64B4" w:rsidDel="00A17D9F" w:rsidRDefault="00A17D9F" w:rsidP="00A17D9F">
      <w:pPr>
        <w:rPr>
          <w:rStyle w:val="Emphasis"/>
          <w:rFonts w:asciiTheme="minorHAnsi" w:hAnsiTheme="minorHAnsi"/>
          <w:i w:val="0"/>
          <w:szCs w:val="22"/>
        </w:rPr>
      </w:pPr>
    </w:p>
    <w:p w14:paraId="7BB8694E" w14:textId="77777777" w:rsidR="00A55B42" w:rsidRDefault="00A17D9F" w:rsidP="00A17D9F">
      <w:pPr>
        <w:tabs>
          <w:tab w:val="left" w:pos="7485"/>
        </w:tabs>
        <w:rPr>
          <w:rStyle w:val="Emphasis"/>
          <w:rFonts w:asciiTheme="minorHAnsi" w:hAnsiTheme="minorHAnsi"/>
          <w:i w:val="0"/>
          <w:szCs w:val="22"/>
        </w:rPr>
      </w:pPr>
      <w:r>
        <w:rPr>
          <w:rStyle w:val="Emphasis"/>
          <w:rFonts w:asciiTheme="minorHAnsi" w:hAnsiTheme="minorHAnsi"/>
          <w:i w:val="0"/>
          <w:szCs w:val="22"/>
        </w:rPr>
        <w:t xml:space="preserve">Table 8 requires at most three data entries. First, enter the </w:t>
      </w:r>
      <w:r w:rsidR="00F8640C">
        <w:rPr>
          <w:rStyle w:val="Emphasis"/>
          <w:rFonts w:asciiTheme="minorHAnsi" w:hAnsiTheme="minorHAnsi"/>
          <w:i w:val="0"/>
          <w:szCs w:val="22"/>
        </w:rPr>
        <w:t xml:space="preserve">2017 </w:t>
      </w:r>
      <w:r>
        <w:rPr>
          <w:rStyle w:val="Emphasis"/>
          <w:rFonts w:asciiTheme="minorHAnsi" w:hAnsiTheme="minorHAnsi"/>
          <w:i w:val="0"/>
          <w:szCs w:val="22"/>
        </w:rPr>
        <w:t xml:space="preserve">base period allowed claims in </w:t>
      </w:r>
      <w:r w:rsidR="00F8640C">
        <w:rPr>
          <w:rStyle w:val="Emphasis"/>
          <w:rFonts w:asciiTheme="minorHAnsi" w:hAnsiTheme="minorHAnsi"/>
          <w:i w:val="0"/>
          <w:szCs w:val="22"/>
        </w:rPr>
        <w:t>cell</w:t>
      </w:r>
      <w:r w:rsidR="008430E5">
        <w:rPr>
          <w:rStyle w:val="Emphasis"/>
          <w:rFonts w:asciiTheme="minorHAnsi" w:hAnsiTheme="minorHAnsi"/>
          <w:i w:val="0"/>
          <w:szCs w:val="22"/>
        </w:rPr>
        <w:t xml:space="preserve"> </w:t>
      </w:r>
      <w:r w:rsidR="00F8640C">
        <w:rPr>
          <w:rStyle w:val="Emphasis"/>
          <w:rFonts w:asciiTheme="minorHAnsi" w:hAnsiTheme="minorHAnsi"/>
          <w:i w:val="0"/>
          <w:szCs w:val="22"/>
        </w:rPr>
        <w:t>C72</w:t>
      </w:r>
      <w:r>
        <w:rPr>
          <w:rStyle w:val="Emphasis"/>
          <w:rFonts w:asciiTheme="minorHAnsi" w:hAnsiTheme="minorHAnsi"/>
          <w:i w:val="0"/>
          <w:szCs w:val="22"/>
        </w:rPr>
        <w:t xml:space="preserve">. </w:t>
      </w:r>
      <w:r w:rsidR="00A55B42">
        <w:rPr>
          <w:rStyle w:val="Emphasis"/>
          <w:rFonts w:asciiTheme="minorHAnsi" w:hAnsiTheme="minorHAnsi"/>
          <w:i w:val="0"/>
          <w:szCs w:val="22"/>
        </w:rPr>
        <w:t xml:space="preserve">If necessary, complete “Change in Miscellaneous Items” for </w:t>
      </w:r>
      <w:r w:rsidR="00F8640C">
        <w:rPr>
          <w:rStyle w:val="Emphasis"/>
          <w:rFonts w:asciiTheme="minorHAnsi" w:hAnsiTheme="minorHAnsi"/>
          <w:i w:val="0"/>
          <w:szCs w:val="22"/>
        </w:rPr>
        <w:t xml:space="preserve">2017 </w:t>
      </w:r>
      <w:r w:rsidR="00A55B42">
        <w:rPr>
          <w:rStyle w:val="Emphasis"/>
          <w:rFonts w:asciiTheme="minorHAnsi" w:hAnsiTheme="minorHAnsi"/>
          <w:i w:val="0"/>
          <w:szCs w:val="22"/>
        </w:rPr>
        <w:t xml:space="preserve">and </w:t>
      </w:r>
      <w:r w:rsidR="00F8640C">
        <w:rPr>
          <w:rStyle w:val="Emphasis"/>
          <w:rFonts w:asciiTheme="minorHAnsi" w:hAnsiTheme="minorHAnsi"/>
          <w:i w:val="0"/>
          <w:szCs w:val="22"/>
        </w:rPr>
        <w:t xml:space="preserve">2018 </w:t>
      </w:r>
      <w:r w:rsidR="00A55B42">
        <w:rPr>
          <w:rStyle w:val="Emphasis"/>
          <w:rFonts w:asciiTheme="minorHAnsi" w:hAnsiTheme="minorHAnsi"/>
          <w:i w:val="0"/>
          <w:szCs w:val="22"/>
        </w:rPr>
        <w:t>in cells C</w:t>
      </w:r>
      <w:r w:rsidR="00F8640C">
        <w:rPr>
          <w:rStyle w:val="Emphasis"/>
          <w:rFonts w:asciiTheme="minorHAnsi" w:hAnsiTheme="minorHAnsi"/>
          <w:i w:val="0"/>
          <w:szCs w:val="22"/>
        </w:rPr>
        <w:t>95</w:t>
      </w:r>
      <w:r w:rsidR="00A55B42">
        <w:rPr>
          <w:rStyle w:val="Emphasis"/>
          <w:rFonts w:asciiTheme="minorHAnsi" w:hAnsiTheme="minorHAnsi"/>
          <w:i w:val="0"/>
          <w:szCs w:val="22"/>
        </w:rPr>
        <w:t xml:space="preserve"> and </w:t>
      </w:r>
      <w:r w:rsidR="00F8640C">
        <w:rPr>
          <w:rStyle w:val="Emphasis"/>
          <w:rFonts w:asciiTheme="minorHAnsi" w:hAnsiTheme="minorHAnsi"/>
          <w:i w:val="0"/>
          <w:szCs w:val="22"/>
        </w:rPr>
        <w:t>D95</w:t>
      </w:r>
      <w:r w:rsidR="00A55B42">
        <w:rPr>
          <w:rStyle w:val="Emphasis"/>
          <w:rFonts w:asciiTheme="minorHAnsi" w:hAnsiTheme="minorHAnsi"/>
          <w:i w:val="0"/>
          <w:szCs w:val="22"/>
        </w:rPr>
        <w:t xml:space="preserve">. The narrative </w:t>
      </w:r>
      <w:r w:rsidR="00A55B42">
        <w:rPr>
          <w:rStyle w:val="Emphasis"/>
          <w:rFonts w:asciiTheme="minorHAnsi" w:hAnsiTheme="minorHAnsi"/>
          <w:i w:val="0"/>
          <w:szCs w:val="22"/>
        </w:rPr>
        <w:lastRenderedPageBreak/>
        <w:t xml:space="preserve">must detail any miscellaneous items and describe how the values for cells </w:t>
      </w:r>
      <w:r w:rsidR="00F8640C">
        <w:rPr>
          <w:rStyle w:val="Emphasis"/>
          <w:rFonts w:asciiTheme="minorHAnsi" w:hAnsiTheme="minorHAnsi"/>
          <w:i w:val="0"/>
          <w:szCs w:val="22"/>
        </w:rPr>
        <w:t xml:space="preserve">C95 </w:t>
      </w:r>
      <w:r w:rsidR="00A55B42">
        <w:rPr>
          <w:rStyle w:val="Emphasis"/>
          <w:rFonts w:asciiTheme="minorHAnsi" w:hAnsiTheme="minorHAnsi"/>
          <w:i w:val="0"/>
          <w:szCs w:val="22"/>
        </w:rPr>
        <w:t xml:space="preserve">and </w:t>
      </w:r>
      <w:r w:rsidR="00F8640C">
        <w:rPr>
          <w:rStyle w:val="Emphasis"/>
          <w:rFonts w:asciiTheme="minorHAnsi" w:hAnsiTheme="minorHAnsi"/>
          <w:i w:val="0"/>
          <w:szCs w:val="22"/>
        </w:rPr>
        <w:t xml:space="preserve">D95 </w:t>
      </w:r>
      <w:r w:rsidR="00A55B42">
        <w:rPr>
          <w:rStyle w:val="Emphasis"/>
          <w:rFonts w:asciiTheme="minorHAnsi" w:hAnsiTheme="minorHAnsi"/>
          <w:i w:val="0"/>
          <w:szCs w:val="22"/>
        </w:rPr>
        <w:t xml:space="preserve">were calculated. The rest of the table will calculate based on entries elsewhere in the excel workbook. </w:t>
      </w:r>
    </w:p>
    <w:p w14:paraId="6CACC1FB" w14:textId="77777777" w:rsidR="00A55B42" w:rsidRDefault="00A55B42" w:rsidP="00A17D9F">
      <w:pPr>
        <w:tabs>
          <w:tab w:val="left" w:pos="7485"/>
        </w:tabs>
        <w:rPr>
          <w:rStyle w:val="Emphasis"/>
          <w:rFonts w:asciiTheme="minorHAnsi" w:hAnsiTheme="minorHAnsi"/>
          <w:i w:val="0"/>
          <w:szCs w:val="22"/>
        </w:rPr>
      </w:pPr>
    </w:p>
    <w:p w14:paraId="3A9AA2B6" w14:textId="77777777" w:rsidR="00A17D9F" w:rsidRDefault="00A55B42" w:rsidP="00A17D9F">
      <w:pPr>
        <w:tabs>
          <w:tab w:val="left" w:pos="7485"/>
        </w:tabs>
        <w:rPr>
          <w:rStyle w:val="Emphasis"/>
          <w:rFonts w:asciiTheme="minorHAnsi" w:hAnsiTheme="minorHAnsi"/>
          <w:i w:val="0"/>
          <w:szCs w:val="22"/>
        </w:rPr>
      </w:pPr>
      <w:r>
        <w:rPr>
          <w:rStyle w:val="Emphasis"/>
          <w:rFonts w:asciiTheme="minorHAnsi" w:hAnsiTheme="minorHAnsi"/>
          <w:i w:val="0"/>
          <w:szCs w:val="22"/>
        </w:rPr>
        <w:t xml:space="preserve">Row H of Table 8 should approximate Row A of Table 8. If </w:t>
      </w:r>
      <w:r w:rsidR="00500B1B">
        <w:rPr>
          <w:rStyle w:val="Emphasis"/>
          <w:rFonts w:asciiTheme="minorHAnsi" w:hAnsiTheme="minorHAnsi"/>
          <w:i w:val="0"/>
          <w:szCs w:val="22"/>
        </w:rPr>
        <w:t>R</w:t>
      </w:r>
      <w:r>
        <w:rPr>
          <w:rStyle w:val="Emphasis"/>
          <w:rFonts w:asciiTheme="minorHAnsi" w:hAnsiTheme="minorHAnsi"/>
          <w:i w:val="0"/>
          <w:szCs w:val="22"/>
        </w:rPr>
        <w:t xml:space="preserve">ow H is substantially different from Row A, explain why in the narrative. </w:t>
      </w:r>
    </w:p>
    <w:p w14:paraId="5960E294" w14:textId="77777777" w:rsidR="00A55B42" w:rsidRDefault="00A55B42" w:rsidP="00A17D9F">
      <w:pPr>
        <w:tabs>
          <w:tab w:val="left" w:pos="7485"/>
        </w:tabs>
        <w:rPr>
          <w:rStyle w:val="Emphasis"/>
          <w:rFonts w:asciiTheme="minorHAnsi" w:hAnsiTheme="minorHAnsi"/>
          <w:i w:val="0"/>
          <w:szCs w:val="22"/>
        </w:rPr>
      </w:pPr>
    </w:p>
    <w:p w14:paraId="74E12606" w14:textId="77777777" w:rsidR="00A17D9F" w:rsidRPr="00A17D9F" w:rsidRDefault="00A55B42" w:rsidP="00A17D9F">
      <w:pPr>
        <w:tabs>
          <w:tab w:val="left" w:pos="7485"/>
        </w:tabs>
        <w:rPr>
          <w:rStyle w:val="Emphasis"/>
          <w:rFonts w:asciiTheme="minorHAnsi" w:hAnsiTheme="minorHAnsi"/>
          <w:i w:val="0"/>
          <w:szCs w:val="22"/>
        </w:rPr>
      </w:pPr>
      <w:r>
        <w:rPr>
          <w:rStyle w:val="Emphasis"/>
          <w:rFonts w:asciiTheme="minorHAnsi" w:hAnsiTheme="minorHAnsi"/>
          <w:i w:val="0"/>
          <w:szCs w:val="22"/>
        </w:rPr>
        <w:t xml:space="preserve">Table 9 collects data elements for </w:t>
      </w:r>
      <w:r w:rsidR="0058546C">
        <w:rPr>
          <w:rStyle w:val="Emphasis"/>
          <w:rFonts w:asciiTheme="minorHAnsi" w:hAnsiTheme="minorHAnsi"/>
          <w:i w:val="0"/>
          <w:szCs w:val="22"/>
        </w:rPr>
        <w:t xml:space="preserve">2017 </w:t>
      </w:r>
      <w:r>
        <w:rPr>
          <w:rStyle w:val="Emphasis"/>
          <w:rFonts w:asciiTheme="minorHAnsi" w:hAnsiTheme="minorHAnsi"/>
          <w:i w:val="0"/>
          <w:szCs w:val="22"/>
        </w:rPr>
        <w:t xml:space="preserve">and </w:t>
      </w:r>
      <w:r w:rsidR="0058546C">
        <w:rPr>
          <w:rStyle w:val="Emphasis"/>
          <w:rFonts w:asciiTheme="minorHAnsi" w:hAnsiTheme="minorHAnsi"/>
          <w:i w:val="0"/>
          <w:szCs w:val="22"/>
        </w:rPr>
        <w:t xml:space="preserve">2018 </w:t>
      </w:r>
      <w:r>
        <w:rPr>
          <w:rStyle w:val="Emphasis"/>
          <w:rFonts w:asciiTheme="minorHAnsi" w:hAnsiTheme="minorHAnsi"/>
          <w:i w:val="0"/>
          <w:szCs w:val="22"/>
        </w:rPr>
        <w:t xml:space="preserve">to support the calculations in Table 8. </w:t>
      </w:r>
      <w:r w:rsidR="00B861E4">
        <w:rPr>
          <w:rStyle w:val="Emphasis"/>
          <w:rFonts w:asciiTheme="minorHAnsi" w:hAnsiTheme="minorHAnsi"/>
          <w:i w:val="0"/>
          <w:szCs w:val="22"/>
        </w:rPr>
        <w:t xml:space="preserve">The amounts shown in the 2017 column should match those entered in the 2017 column in the plan year 2017 rate filing. </w:t>
      </w:r>
      <w:r w:rsidR="0062787D">
        <w:rPr>
          <w:rStyle w:val="Emphasis"/>
          <w:rFonts w:asciiTheme="minorHAnsi" w:hAnsiTheme="minorHAnsi"/>
          <w:i w:val="0"/>
          <w:szCs w:val="22"/>
        </w:rPr>
        <w:t xml:space="preserve">If the </w:t>
      </w:r>
      <w:r>
        <w:rPr>
          <w:rStyle w:val="Emphasis"/>
          <w:rFonts w:asciiTheme="minorHAnsi" w:hAnsiTheme="minorHAnsi"/>
          <w:i w:val="0"/>
          <w:szCs w:val="22"/>
        </w:rPr>
        <w:t xml:space="preserve">amounts shown </w:t>
      </w:r>
      <w:r w:rsidR="0062787D">
        <w:rPr>
          <w:rStyle w:val="Emphasis"/>
          <w:rFonts w:asciiTheme="minorHAnsi" w:hAnsiTheme="minorHAnsi"/>
          <w:i w:val="0"/>
          <w:szCs w:val="22"/>
        </w:rPr>
        <w:t xml:space="preserve">differ from those </w:t>
      </w:r>
      <w:r w:rsidR="00B861E4">
        <w:rPr>
          <w:rStyle w:val="Emphasis"/>
          <w:rFonts w:asciiTheme="minorHAnsi" w:hAnsiTheme="minorHAnsi"/>
          <w:i w:val="0"/>
          <w:szCs w:val="22"/>
        </w:rPr>
        <w:t>in the 2017 rate filing</w:t>
      </w:r>
      <w:r w:rsidR="0062787D">
        <w:rPr>
          <w:rStyle w:val="Emphasis"/>
          <w:rFonts w:asciiTheme="minorHAnsi" w:hAnsiTheme="minorHAnsi"/>
          <w:i w:val="0"/>
          <w:szCs w:val="22"/>
        </w:rPr>
        <w:t xml:space="preserve">, explain why. </w:t>
      </w:r>
      <w:r>
        <w:rPr>
          <w:rStyle w:val="Emphasis"/>
          <w:rFonts w:asciiTheme="minorHAnsi" w:hAnsiTheme="minorHAnsi"/>
          <w:i w:val="0"/>
          <w:szCs w:val="22"/>
        </w:rPr>
        <w:t xml:space="preserve"> </w:t>
      </w:r>
      <w:r w:rsidR="00601496">
        <w:rPr>
          <w:rStyle w:val="Emphasis"/>
          <w:rFonts w:asciiTheme="minorHAnsi" w:hAnsiTheme="minorHAnsi"/>
          <w:i w:val="0"/>
          <w:szCs w:val="22"/>
        </w:rPr>
        <w:t xml:space="preserve">  </w:t>
      </w:r>
    </w:p>
    <w:p w14:paraId="7C7CA159" w14:textId="77777777" w:rsidR="000C01A7" w:rsidRPr="00BA64B4" w:rsidRDefault="000C01A7" w:rsidP="00541891">
      <w:pPr>
        <w:pStyle w:val="Heading1"/>
        <w:rPr>
          <w:rFonts w:asciiTheme="minorHAnsi" w:hAnsiTheme="minorHAnsi"/>
        </w:rPr>
      </w:pPr>
      <w:bookmarkStart w:id="191" w:name="_Toc474316440"/>
      <w:r w:rsidRPr="00BA64B4">
        <w:rPr>
          <w:rFonts w:asciiTheme="minorHAnsi" w:hAnsiTheme="minorHAnsi"/>
        </w:rPr>
        <w:t>Plan Rate Development</w:t>
      </w:r>
      <w:bookmarkEnd w:id="186"/>
      <w:bookmarkEnd w:id="187"/>
      <w:bookmarkEnd w:id="188"/>
      <w:bookmarkEnd w:id="189"/>
      <w:r w:rsidRPr="00BA64B4">
        <w:rPr>
          <w:rFonts w:asciiTheme="minorHAnsi" w:hAnsiTheme="minorHAnsi"/>
        </w:rPr>
        <w:t xml:space="preserve"> </w:t>
      </w:r>
      <w:r w:rsidR="00DF34DE">
        <w:rPr>
          <w:rFonts w:asciiTheme="minorHAnsi" w:hAnsiTheme="minorHAnsi"/>
          <w:b w:val="0"/>
        </w:rPr>
        <w:t>(Table 10)</w:t>
      </w:r>
      <w:bookmarkEnd w:id="191"/>
    </w:p>
    <w:p w14:paraId="5446C632" w14:textId="77777777" w:rsidR="00BE044B" w:rsidRPr="00BA64B4" w:rsidRDefault="00BE044B" w:rsidP="00417281">
      <w:pPr>
        <w:rPr>
          <w:rFonts w:asciiTheme="minorHAnsi" w:hAnsiTheme="minorHAnsi"/>
        </w:rPr>
      </w:pPr>
      <w:r w:rsidRPr="00BA64B4">
        <w:rPr>
          <w:rFonts w:asciiTheme="minorHAnsi" w:hAnsiTheme="minorHAnsi"/>
        </w:rPr>
        <w:t xml:space="preserve">The </w:t>
      </w:r>
      <w:r w:rsidR="000C3DAB" w:rsidRPr="00BA64B4">
        <w:rPr>
          <w:rFonts w:asciiTheme="minorHAnsi" w:hAnsiTheme="minorHAnsi"/>
        </w:rPr>
        <w:t xml:space="preserve">projected market-adjusted index rate </w:t>
      </w:r>
      <w:r w:rsidRPr="00BA64B4">
        <w:rPr>
          <w:rFonts w:asciiTheme="minorHAnsi" w:hAnsiTheme="minorHAnsi"/>
        </w:rPr>
        <w:t>is used to develop the calibrated plan adjusted index rate</w:t>
      </w:r>
      <w:r w:rsidR="000C3DAB" w:rsidRPr="00BA64B4">
        <w:rPr>
          <w:rFonts w:asciiTheme="minorHAnsi" w:hAnsiTheme="minorHAnsi"/>
        </w:rPr>
        <w:t>s</w:t>
      </w:r>
      <w:r w:rsidR="00601496">
        <w:rPr>
          <w:rFonts w:asciiTheme="minorHAnsi" w:hAnsiTheme="minorHAnsi"/>
        </w:rPr>
        <w:t xml:space="preserve"> in columns Z and AA of Table 10</w:t>
      </w:r>
      <w:r w:rsidRPr="00BA64B4">
        <w:rPr>
          <w:rFonts w:asciiTheme="minorHAnsi" w:hAnsiTheme="minorHAnsi"/>
        </w:rPr>
        <w:t xml:space="preserve">. Each plan's rate is developed as the product of the </w:t>
      </w:r>
      <w:r w:rsidR="000C3DAB" w:rsidRPr="00BA64B4">
        <w:rPr>
          <w:rFonts w:asciiTheme="minorHAnsi" w:hAnsiTheme="minorHAnsi"/>
        </w:rPr>
        <w:t>market-adjusted index rate</w:t>
      </w:r>
      <w:r w:rsidR="000A6D34" w:rsidRPr="00BA64B4">
        <w:rPr>
          <w:rFonts w:asciiTheme="minorHAnsi" w:hAnsiTheme="minorHAnsi"/>
        </w:rPr>
        <w:t xml:space="preserve">, </w:t>
      </w:r>
      <w:r w:rsidRPr="00BA64B4">
        <w:rPr>
          <w:rFonts w:asciiTheme="minorHAnsi" w:hAnsiTheme="minorHAnsi"/>
        </w:rPr>
        <w:t>the allowable factors</w:t>
      </w:r>
      <w:r w:rsidR="000A6D34" w:rsidRPr="00BA64B4">
        <w:rPr>
          <w:rFonts w:asciiTheme="minorHAnsi" w:hAnsiTheme="minorHAnsi"/>
        </w:rPr>
        <w:t>, and calibration for age and geography</w:t>
      </w:r>
      <w:r w:rsidRPr="00BA64B4">
        <w:rPr>
          <w:rFonts w:asciiTheme="minorHAnsi" w:hAnsiTheme="minorHAnsi"/>
        </w:rPr>
        <w:t>.</w:t>
      </w:r>
    </w:p>
    <w:p w14:paraId="1EE107C6" w14:textId="499C742E" w:rsidR="00BE044B" w:rsidRPr="00F8734F" w:rsidRDefault="00BE044B" w:rsidP="00F8734F">
      <w:pPr>
        <w:pStyle w:val="Heading2"/>
        <w:numPr>
          <w:ilvl w:val="0"/>
          <w:numId w:val="39"/>
        </w:numPr>
        <w:rPr>
          <w:rFonts w:asciiTheme="minorHAnsi" w:hAnsiTheme="minorHAnsi"/>
        </w:rPr>
      </w:pPr>
      <w:bookmarkStart w:id="192" w:name="_Toc474316441"/>
      <w:r w:rsidRPr="00F8734F">
        <w:rPr>
          <w:rFonts w:asciiTheme="minorHAnsi" w:hAnsiTheme="minorHAnsi"/>
        </w:rPr>
        <w:t xml:space="preserve">Instructions for Completing </w:t>
      </w:r>
      <w:r w:rsidR="00B01950" w:rsidRPr="00F8734F">
        <w:rPr>
          <w:rFonts w:asciiTheme="minorHAnsi" w:hAnsiTheme="minorHAnsi"/>
        </w:rPr>
        <w:t xml:space="preserve">Table </w:t>
      </w:r>
      <w:r w:rsidR="00D81BCC" w:rsidRPr="00F8734F">
        <w:rPr>
          <w:rFonts w:asciiTheme="minorHAnsi" w:hAnsiTheme="minorHAnsi"/>
        </w:rPr>
        <w:t>10</w:t>
      </w:r>
      <w:r w:rsidRPr="00F8734F">
        <w:rPr>
          <w:rFonts w:asciiTheme="minorHAnsi" w:hAnsiTheme="minorHAnsi"/>
        </w:rPr>
        <w:t xml:space="preserve"> of the PA Rate </w:t>
      </w:r>
      <w:r w:rsidR="00271157">
        <w:rPr>
          <w:rFonts w:asciiTheme="minorHAnsi" w:hAnsiTheme="minorHAnsi"/>
        </w:rPr>
        <w:t>Exhibits</w:t>
      </w:r>
      <w:bookmarkEnd w:id="192"/>
      <w:r w:rsidRPr="00F8734F">
        <w:rPr>
          <w:rFonts w:asciiTheme="minorHAnsi" w:hAnsiTheme="minorHAnsi"/>
        </w:rPr>
        <w:t xml:space="preserve"> </w:t>
      </w:r>
    </w:p>
    <w:p w14:paraId="39F40B13" w14:textId="047D3199" w:rsidR="009E1642" w:rsidRPr="00BA64B4" w:rsidRDefault="00BE044B" w:rsidP="00417281">
      <w:pPr>
        <w:rPr>
          <w:rFonts w:asciiTheme="minorHAnsi" w:hAnsiTheme="minorHAnsi"/>
        </w:rPr>
      </w:pPr>
      <w:r w:rsidRPr="00BA64B4">
        <w:rPr>
          <w:rFonts w:asciiTheme="minorHAnsi" w:hAnsiTheme="minorHAnsi"/>
        </w:rPr>
        <w:t xml:space="preserve">Beginning in Column B, row </w:t>
      </w:r>
      <w:r w:rsidR="006D2848">
        <w:rPr>
          <w:rFonts w:asciiTheme="minorHAnsi" w:hAnsiTheme="minorHAnsi"/>
        </w:rPr>
        <w:t>17</w:t>
      </w:r>
      <w:r w:rsidRPr="00BA64B4">
        <w:rPr>
          <w:rFonts w:asciiTheme="minorHAnsi" w:hAnsiTheme="minorHAnsi"/>
        </w:rPr>
        <w:t xml:space="preserve">, the template requests the HIOS Plan ID number for </w:t>
      </w:r>
      <w:r w:rsidR="001954D0" w:rsidRPr="00BA64B4">
        <w:rPr>
          <w:rFonts w:asciiTheme="minorHAnsi" w:hAnsiTheme="minorHAnsi"/>
        </w:rPr>
        <w:t xml:space="preserve">all plans that will be offered in </w:t>
      </w:r>
      <w:r w:rsidR="006D2848" w:rsidRPr="00BA64B4">
        <w:rPr>
          <w:rFonts w:asciiTheme="minorHAnsi" w:hAnsiTheme="minorHAnsi"/>
        </w:rPr>
        <w:t>201</w:t>
      </w:r>
      <w:r w:rsidR="006D2848">
        <w:rPr>
          <w:rFonts w:asciiTheme="minorHAnsi" w:hAnsiTheme="minorHAnsi"/>
        </w:rPr>
        <w:t>8</w:t>
      </w:r>
      <w:r w:rsidR="001954D0" w:rsidRPr="00BA64B4">
        <w:rPr>
          <w:rFonts w:asciiTheme="minorHAnsi" w:hAnsiTheme="minorHAnsi"/>
        </w:rPr>
        <w:t xml:space="preserve">, and for all plans offered in </w:t>
      </w:r>
      <w:r w:rsidR="006D2848" w:rsidRPr="00BA64B4">
        <w:rPr>
          <w:rFonts w:asciiTheme="minorHAnsi" w:hAnsiTheme="minorHAnsi"/>
        </w:rPr>
        <w:t>201</w:t>
      </w:r>
      <w:r w:rsidR="006D2848">
        <w:rPr>
          <w:rFonts w:asciiTheme="minorHAnsi" w:hAnsiTheme="minorHAnsi"/>
        </w:rPr>
        <w:t>7</w:t>
      </w:r>
      <w:r w:rsidR="006D2848" w:rsidRPr="00BA64B4">
        <w:rPr>
          <w:rFonts w:asciiTheme="minorHAnsi" w:hAnsiTheme="minorHAnsi"/>
        </w:rPr>
        <w:t xml:space="preserve"> </w:t>
      </w:r>
      <w:r w:rsidR="001954D0" w:rsidRPr="00BA64B4">
        <w:rPr>
          <w:rFonts w:asciiTheme="minorHAnsi" w:hAnsiTheme="minorHAnsi"/>
        </w:rPr>
        <w:t xml:space="preserve">that will not be offered in </w:t>
      </w:r>
      <w:r w:rsidR="006D2848" w:rsidRPr="00BA64B4">
        <w:rPr>
          <w:rFonts w:asciiTheme="minorHAnsi" w:hAnsiTheme="minorHAnsi"/>
        </w:rPr>
        <w:t>201</w:t>
      </w:r>
      <w:r w:rsidR="006D2848">
        <w:rPr>
          <w:rFonts w:asciiTheme="minorHAnsi" w:hAnsiTheme="minorHAnsi"/>
        </w:rPr>
        <w:t>8</w:t>
      </w:r>
      <w:r w:rsidRPr="00BA64B4">
        <w:rPr>
          <w:rFonts w:asciiTheme="minorHAnsi" w:hAnsiTheme="minorHAnsi"/>
        </w:rPr>
        <w:t>. Column C requires plan type for each plan</w:t>
      </w:r>
      <w:r w:rsidR="0079450F" w:rsidRPr="00BA64B4">
        <w:rPr>
          <w:rFonts w:asciiTheme="minorHAnsi" w:hAnsiTheme="minorHAnsi"/>
        </w:rPr>
        <w:t>, consistent with the URRT</w:t>
      </w:r>
      <w:r w:rsidRPr="00BA64B4">
        <w:rPr>
          <w:rFonts w:asciiTheme="minorHAnsi" w:hAnsiTheme="minorHAnsi"/>
        </w:rPr>
        <w:t xml:space="preserve">. Column D requires </w:t>
      </w:r>
      <w:r w:rsidR="000A6D34" w:rsidRPr="00BA64B4">
        <w:rPr>
          <w:rFonts w:asciiTheme="minorHAnsi" w:hAnsiTheme="minorHAnsi"/>
        </w:rPr>
        <w:t>the</w:t>
      </w:r>
      <w:r w:rsidRPr="00BA64B4">
        <w:rPr>
          <w:rFonts w:asciiTheme="minorHAnsi" w:hAnsiTheme="minorHAnsi"/>
        </w:rPr>
        <w:t xml:space="preserve"> plan </w:t>
      </w:r>
      <w:r w:rsidR="000A6D34" w:rsidRPr="00BA64B4">
        <w:rPr>
          <w:rFonts w:asciiTheme="minorHAnsi" w:hAnsiTheme="minorHAnsi"/>
        </w:rPr>
        <w:t>marketing name</w:t>
      </w:r>
      <w:r w:rsidRPr="00BA64B4">
        <w:rPr>
          <w:rFonts w:asciiTheme="minorHAnsi" w:hAnsiTheme="minorHAnsi"/>
        </w:rPr>
        <w:t xml:space="preserve"> for each plan. This naming convention </w:t>
      </w:r>
      <w:r w:rsidR="000A6D34" w:rsidRPr="00BA64B4">
        <w:rPr>
          <w:rFonts w:asciiTheme="minorHAnsi" w:hAnsiTheme="minorHAnsi"/>
        </w:rPr>
        <w:t>will</w:t>
      </w:r>
      <w:r w:rsidRPr="00BA64B4">
        <w:rPr>
          <w:rFonts w:asciiTheme="minorHAnsi" w:hAnsiTheme="minorHAnsi"/>
        </w:rPr>
        <w:t xml:space="preserve"> be specific to each issuer </w:t>
      </w:r>
      <w:r w:rsidR="000A6D34" w:rsidRPr="00BA64B4">
        <w:rPr>
          <w:rFonts w:asciiTheme="minorHAnsi" w:hAnsiTheme="minorHAnsi"/>
        </w:rPr>
        <w:t>but there should be</w:t>
      </w:r>
      <w:r w:rsidRPr="00BA64B4">
        <w:rPr>
          <w:rFonts w:asciiTheme="minorHAnsi" w:hAnsiTheme="minorHAnsi"/>
        </w:rPr>
        <w:t xml:space="preserve"> consistency from filing to filing each year. Since plan offerings will need to conform to metallic tier offerings, and HHS has issued a new </w:t>
      </w:r>
      <w:r w:rsidR="003435D0" w:rsidRPr="00BA64B4">
        <w:rPr>
          <w:rFonts w:asciiTheme="minorHAnsi" w:hAnsiTheme="minorHAnsi"/>
        </w:rPr>
        <w:t>201</w:t>
      </w:r>
      <w:r w:rsidR="003435D0">
        <w:rPr>
          <w:rFonts w:asciiTheme="minorHAnsi" w:hAnsiTheme="minorHAnsi"/>
        </w:rPr>
        <w:t>8</w:t>
      </w:r>
      <w:r w:rsidR="003435D0" w:rsidRPr="00BA64B4">
        <w:rPr>
          <w:rFonts w:asciiTheme="minorHAnsi" w:hAnsiTheme="minorHAnsi"/>
        </w:rPr>
        <w:t xml:space="preserve"> </w:t>
      </w:r>
      <w:r w:rsidRPr="00BA64B4">
        <w:rPr>
          <w:rFonts w:asciiTheme="minorHAnsi" w:hAnsiTheme="minorHAnsi"/>
        </w:rPr>
        <w:t xml:space="preserve">actuarial value calculator, </w:t>
      </w:r>
      <w:r w:rsidR="009E1642" w:rsidRPr="00BA64B4">
        <w:rPr>
          <w:rFonts w:asciiTheme="minorHAnsi" w:hAnsiTheme="minorHAnsi"/>
        </w:rPr>
        <w:t xml:space="preserve">some plans </w:t>
      </w:r>
      <w:r w:rsidR="001954D0" w:rsidRPr="00BA64B4">
        <w:rPr>
          <w:rFonts w:asciiTheme="minorHAnsi" w:hAnsiTheme="minorHAnsi"/>
        </w:rPr>
        <w:t>may</w:t>
      </w:r>
      <w:r w:rsidR="009E1642" w:rsidRPr="00BA64B4">
        <w:rPr>
          <w:rFonts w:asciiTheme="minorHAnsi" w:hAnsiTheme="minorHAnsi"/>
        </w:rPr>
        <w:t xml:space="preserve"> be discontinued, </w:t>
      </w:r>
      <w:r w:rsidRPr="00BA64B4">
        <w:rPr>
          <w:rFonts w:asciiTheme="minorHAnsi" w:hAnsiTheme="minorHAnsi"/>
        </w:rPr>
        <w:t xml:space="preserve">others </w:t>
      </w:r>
      <w:r w:rsidR="001954D0" w:rsidRPr="00BA64B4">
        <w:rPr>
          <w:rFonts w:asciiTheme="minorHAnsi" w:hAnsiTheme="minorHAnsi"/>
        </w:rPr>
        <w:t>may</w:t>
      </w:r>
      <w:r w:rsidRPr="00BA64B4">
        <w:rPr>
          <w:rFonts w:asciiTheme="minorHAnsi" w:hAnsiTheme="minorHAnsi"/>
        </w:rPr>
        <w:t xml:space="preserve"> be new</w:t>
      </w:r>
      <w:r w:rsidR="009E1642" w:rsidRPr="00BA64B4">
        <w:rPr>
          <w:rFonts w:asciiTheme="minorHAnsi" w:hAnsiTheme="minorHAnsi"/>
        </w:rPr>
        <w:t>,</w:t>
      </w:r>
      <w:r w:rsidRPr="00BA64B4">
        <w:rPr>
          <w:rFonts w:asciiTheme="minorHAnsi" w:hAnsiTheme="minorHAnsi"/>
        </w:rPr>
        <w:t xml:space="preserve"> and others </w:t>
      </w:r>
      <w:r w:rsidR="001954D0" w:rsidRPr="00BA64B4">
        <w:rPr>
          <w:rFonts w:asciiTheme="minorHAnsi" w:hAnsiTheme="minorHAnsi"/>
        </w:rPr>
        <w:t>may</w:t>
      </w:r>
      <w:r w:rsidRPr="00BA64B4">
        <w:rPr>
          <w:rFonts w:asciiTheme="minorHAnsi" w:hAnsiTheme="minorHAnsi"/>
        </w:rPr>
        <w:t xml:space="preserve"> be modified. Column E requires the issuer to indicate whether a plan will be</w:t>
      </w:r>
      <w:r w:rsidR="006453B5">
        <w:rPr>
          <w:rFonts w:asciiTheme="minorHAnsi" w:hAnsiTheme="minorHAnsi"/>
        </w:rPr>
        <w:t xml:space="preserve"> existing (E) -</w:t>
      </w:r>
      <w:r w:rsidRPr="00BA64B4">
        <w:rPr>
          <w:rFonts w:asciiTheme="minorHAnsi" w:hAnsiTheme="minorHAnsi"/>
        </w:rPr>
        <w:t xml:space="preserve"> </w:t>
      </w:r>
      <w:r w:rsidR="006453B5">
        <w:rPr>
          <w:rFonts w:asciiTheme="minorHAnsi" w:hAnsiTheme="minorHAnsi"/>
        </w:rPr>
        <w:t>i.e., no changes to the plan; modified (M); new (N); discontinued and mapped to a 2018 plan (DM); or discontinued and not mapped to a 2018 plan (DNM)</w:t>
      </w:r>
      <w:r w:rsidRPr="00BA64B4">
        <w:rPr>
          <w:rFonts w:asciiTheme="minorHAnsi" w:hAnsiTheme="minorHAnsi"/>
        </w:rPr>
        <w:t xml:space="preserve">. </w:t>
      </w:r>
      <w:r w:rsidR="009E1642" w:rsidRPr="00BA64B4">
        <w:rPr>
          <w:rFonts w:asciiTheme="minorHAnsi" w:hAnsiTheme="minorHAnsi"/>
        </w:rPr>
        <w:t>Plans must be discontinued if they exceed the federal uniform modification standards in 45 CFR 147.106</w:t>
      </w:r>
      <w:r w:rsidRPr="00BA64B4">
        <w:rPr>
          <w:rFonts w:asciiTheme="minorHAnsi" w:hAnsiTheme="minorHAnsi"/>
        </w:rPr>
        <w:t xml:space="preserve">. </w:t>
      </w:r>
    </w:p>
    <w:p w14:paraId="25EAB8DC" w14:textId="77777777" w:rsidR="003435D0" w:rsidRPr="00F8734F" w:rsidRDefault="003435D0" w:rsidP="00F8734F">
      <w:pPr>
        <w:pStyle w:val="Heading2"/>
        <w:numPr>
          <w:ilvl w:val="0"/>
          <w:numId w:val="39"/>
        </w:numPr>
        <w:rPr>
          <w:rFonts w:asciiTheme="minorHAnsi" w:hAnsiTheme="minorHAnsi"/>
        </w:rPr>
      </w:pPr>
      <w:bookmarkStart w:id="193" w:name="_Toc474316442"/>
      <w:r w:rsidRPr="00F8734F">
        <w:rPr>
          <w:rFonts w:asciiTheme="minorHAnsi" w:hAnsiTheme="minorHAnsi"/>
        </w:rPr>
        <w:t>Mapping Scenarios</w:t>
      </w:r>
      <w:r w:rsidR="001C73AE" w:rsidRPr="00F8734F">
        <w:rPr>
          <w:rFonts w:asciiTheme="minorHAnsi" w:hAnsiTheme="minorHAnsi"/>
        </w:rPr>
        <w:t xml:space="preserve"> – Individual Market</w:t>
      </w:r>
      <w:bookmarkEnd w:id="193"/>
    </w:p>
    <w:p w14:paraId="38C2A80A" w14:textId="49BADA92" w:rsidR="001C73AE" w:rsidRPr="005A7D2D" w:rsidRDefault="001954D0" w:rsidP="00417281">
      <w:pPr>
        <w:rPr>
          <w:rFonts w:asciiTheme="minorHAnsi" w:hAnsiTheme="minorHAnsi"/>
        </w:rPr>
      </w:pPr>
      <w:r w:rsidRPr="00BA64B4">
        <w:rPr>
          <w:rFonts w:asciiTheme="minorHAnsi" w:hAnsiTheme="minorHAnsi"/>
        </w:rPr>
        <w:t>T</w:t>
      </w:r>
      <w:r w:rsidR="00BE044B" w:rsidRPr="00BA64B4">
        <w:rPr>
          <w:rFonts w:asciiTheme="minorHAnsi" w:hAnsiTheme="minorHAnsi"/>
        </w:rPr>
        <w:t xml:space="preserve">he issuer </w:t>
      </w:r>
      <w:r w:rsidRPr="00BA64B4">
        <w:rPr>
          <w:rFonts w:asciiTheme="minorHAnsi" w:hAnsiTheme="minorHAnsi"/>
        </w:rPr>
        <w:t xml:space="preserve">is expected </w:t>
      </w:r>
      <w:r w:rsidR="00643F68">
        <w:rPr>
          <w:rFonts w:asciiTheme="minorHAnsi" w:hAnsiTheme="minorHAnsi"/>
        </w:rPr>
        <w:t xml:space="preserve">to </w:t>
      </w:r>
      <w:r w:rsidR="004516F6">
        <w:rPr>
          <w:rFonts w:asciiTheme="minorHAnsi" w:hAnsiTheme="minorHAnsi"/>
        </w:rPr>
        <w:t xml:space="preserve">account for all enrollment as of 2/1/17 on table 10. </w:t>
      </w:r>
      <w:r w:rsidR="001C73AE">
        <w:rPr>
          <w:rFonts w:asciiTheme="minorHAnsi" w:hAnsiTheme="minorHAnsi"/>
        </w:rPr>
        <w:t>This means that t</w:t>
      </w:r>
      <w:r w:rsidR="006453B5">
        <w:rPr>
          <w:rFonts w:asciiTheme="minorHAnsi" w:hAnsiTheme="minorHAnsi"/>
        </w:rPr>
        <w:t xml:space="preserve">he number in </w:t>
      </w:r>
      <w:r w:rsidR="006453B5" w:rsidRPr="005A7D2D">
        <w:rPr>
          <w:rFonts w:asciiTheme="minorHAnsi" w:hAnsiTheme="minorHAnsi"/>
        </w:rPr>
        <w:t>table 10, cell AP</w:t>
      </w:r>
      <w:r w:rsidR="004516F6" w:rsidRPr="005A7D2D">
        <w:rPr>
          <w:rFonts w:asciiTheme="minorHAnsi" w:hAnsiTheme="minorHAnsi"/>
        </w:rPr>
        <w:t xml:space="preserve">15 should equal the number in table </w:t>
      </w:r>
      <w:r w:rsidR="001C73AE" w:rsidRPr="005A7D2D">
        <w:rPr>
          <w:rFonts w:asciiTheme="minorHAnsi" w:hAnsiTheme="minorHAnsi"/>
        </w:rPr>
        <w:t>1, cell D17. Plans may fall into several categories, which will necessitate different treatment in table 10:</w:t>
      </w:r>
    </w:p>
    <w:p w14:paraId="0E9CDC76" w14:textId="2493D99A" w:rsidR="00F8734F" w:rsidRPr="005A7D2D" w:rsidRDefault="001C73AE" w:rsidP="007E6C90">
      <w:pPr>
        <w:pStyle w:val="ListParagraph"/>
        <w:numPr>
          <w:ilvl w:val="0"/>
          <w:numId w:val="15"/>
        </w:numPr>
        <w:rPr>
          <w:rFonts w:asciiTheme="minorHAnsi" w:hAnsiTheme="minorHAnsi"/>
        </w:rPr>
      </w:pPr>
      <w:r w:rsidRPr="005A7D2D">
        <w:rPr>
          <w:rFonts w:asciiTheme="minorHAnsi" w:hAnsiTheme="minorHAnsi"/>
          <w:u w:val="single"/>
        </w:rPr>
        <w:t xml:space="preserve">The </w:t>
      </w:r>
      <w:r w:rsidR="00446567" w:rsidRPr="005A7D2D">
        <w:rPr>
          <w:rFonts w:asciiTheme="minorHAnsi" w:hAnsiTheme="minorHAnsi"/>
          <w:u w:val="single"/>
        </w:rPr>
        <w:t>2017</w:t>
      </w:r>
      <w:r w:rsidRPr="005A7D2D">
        <w:rPr>
          <w:rFonts w:asciiTheme="minorHAnsi" w:hAnsiTheme="minorHAnsi"/>
          <w:u w:val="single"/>
        </w:rPr>
        <w:t xml:space="preserve"> plan will continue to be available to all </w:t>
      </w:r>
      <w:r w:rsidR="00A85652" w:rsidRPr="005A7D2D">
        <w:rPr>
          <w:rFonts w:asciiTheme="minorHAnsi" w:hAnsiTheme="minorHAnsi"/>
          <w:u w:val="single"/>
        </w:rPr>
        <w:t xml:space="preserve">current </w:t>
      </w:r>
      <w:r w:rsidRPr="005A7D2D">
        <w:rPr>
          <w:rFonts w:asciiTheme="minorHAnsi" w:hAnsiTheme="minorHAnsi"/>
          <w:u w:val="single"/>
        </w:rPr>
        <w:t>enrollees</w:t>
      </w:r>
      <w:r w:rsidR="00446567" w:rsidRPr="005A7D2D">
        <w:rPr>
          <w:rFonts w:asciiTheme="minorHAnsi" w:hAnsiTheme="minorHAnsi"/>
          <w:u w:val="single"/>
        </w:rPr>
        <w:t xml:space="preserve"> in 2018</w:t>
      </w:r>
      <w:r w:rsidRPr="005A7D2D">
        <w:rPr>
          <w:rFonts w:asciiTheme="minorHAnsi" w:hAnsiTheme="minorHAnsi"/>
        </w:rPr>
        <w:t xml:space="preserve"> – in this case</w:t>
      </w:r>
      <w:r w:rsidR="00446567" w:rsidRPr="005A7D2D">
        <w:rPr>
          <w:rFonts w:asciiTheme="minorHAnsi" w:hAnsiTheme="minorHAnsi"/>
        </w:rPr>
        <w:t>,</w:t>
      </w:r>
      <w:r w:rsidRPr="005A7D2D">
        <w:rPr>
          <w:rFonts w:asciiTheme="minorHAnsi" w:hAnsiTheme="minorHAnsi"/>
        </w:rPr>
        <w:t xml:space="preserve"> all 2017 enrollees should be mapped into the continued </w:t>
      </w:r>
      <w:r w:rsidR="00446567" w:rsidRPr="005A7D2D">
        <w:rPr>
          <w:rFonts w:asciiTheme="minorHAnsi" w:hAnsiTheme="minorHAnsi"/>
        </w:rPr>
        <w:t xml:space="preserve">2018 </w:t>
      </w:r>
      <w:r w:rsidRPr="005A7D2D">
        <w:rPr>
          <w:rFonts w:asciiTheme="minorHAnsi" w:hAnsiTheme="minorHAnsi"/>
        </w:rPr>
        <w:t>plan.</w:t>
      </w:r>
      <w:r w:rsidR="00446567" w:rsidRPr="005A7D2D">
        <w:rPr>
          <w:rFonts w:asciiTheme="minorHAnsi" w:hAnsiTheme="minorHAnsi"/>
        </w:rPr>
        <w:t xml:space="preserve"> </w:t>
      </w:r>
      <w:r w:rsidR="006453B5" w:rsidRPr="005A7D2D">
        <w:rPr>
          <w:rFonts w:asciiTheme="minorHAnsi" w:hAnsiTheme="minorHAnsi"/>
        </w:rPr>
        <w:t>Input 2017 plan information</w:t>
      </w:r>
      <w:r w:rsidR="00F8734F" w:rsidRPr="005A7D2D">
        <w:rPr>
          <w:rFonts w:asciiTheme="minorHAnsi" w:hAnsiTheme="minorHAnsi"/>
        </w:rPr>
        <w:t xml:space="preserve"> in columns B-</w:t>
      </w:r>
      <w:r w:rsidR="00975772" w:rsidRPr="005A7D2D">
        <w:rPr>
          <w:rFonts w:asciiTheme="minorHAnsi" w:hAnsiTheme="minorHAnsi"/>
        </w:rPr>
        <w:t xml:space="preserve">D, W, Z, </w:t>
      </w:r>
      <w:r w:rsidR="00F8734F" w:rsidRPr="005A7D2D">
        <w:rPr>
          <w:rFonts w:asciiTheme="minorHAnsi" w:hAnsiTheme="minorHAnsi"/>
        </w:rPr>
        <w:t xml:space="preserve">and AG-AO. </w:t>
      </w:r>
      <w:r w:rsidR="00975772" w:rsidRPr="005A7D2D">
        <w:rPr>
          <w:rFonts w:asciiTheme="minorHAnsi" w:hAnsiTheme="minorHAnsi"/>
        </w:rPr>
        <w:t xml:space="preserve">Input “E” or “M” in column E, as appropriate. </w:t>
      </w:r>
      <w:r w:rsidR="00F8734F" w:rsidRPr="005A7D2D">
        <w:rPr>
          <w:rFonts w:asciiTheme="minorHAnsi" w:hAnsiTheme="minorHAnsi"/>
        </w:rPr>
        <w:t xml:space="preserve">Input 2018 plan information </w:t>
      </w:r>
      <w:r w:rsidR="00975772" w:rsidRPr="005A7D2D">
        <w:rPr>
          <w:rFonts w:asciiTheme="minorHAnsi" w:hAnsiTheme="minorHAnsi"/>
        </w:rPr>
        <w:t>in all other input columns</w:t>
      </w:r>
      <w:r w:rsidR="00F8734F" w:rsidRPr="005A7D2D">
        <w:rPr>
          <w:rFonts w:asciiTheme="minorHAnsi" w:hAnsiTheme="minorHAnsi"/>
        </w:rPr>
        <w:t>.</w:t>
      </w:r>
    </w:p>
    <w:p w14:paraId="7548B4B5" w14:textId="64367906" w:rsidR="006453B5" w:rsidRPr="005A7D2D" w:rsidRDefault="001C73AE" w:rsidP="007E6C90">
      <w:pPr>
        <w:pStyle w:val="ListParagraph"/>
        <w:numPr>
          <w:ilvl w:val="0"/>
          <w:numId w:val="15"/>
        </w:numPr>
        <w:rPr>
          <w:rFonts w:asciiTheme="minorHAnsi" w:hAnsiTheme="minorHAnsi"/>
        </w:rPr>
      </w:pPr>
      <w:r w:rsidRPr="005A7D2D">
        <w:rPr>
          <w:rFonts w:asciiTheme="minorHAnsi" w:hAnsiTheme="minorHAnsi"/>
          <w:u w:val="single"/>
        </w:rPr>
        <w:t xml:space="preserve">The 2017 plan will </w:t>
      </w:r>
      <w:r w:rsidR="00A85652" w:rsidRPr="005A7D2D">
        <w:rPr>
          <w:rFonts w:asciiTheme="minorHAnsi" w:hAnsiTheme="minorHAnsi"/>
          <w:u w:val="single"/>
        </w:rPr>
        <w:t>be discontinued</w:t>
      </w:r>
      <w:r w:rsidR="00446567" w:rsidRPr="005A7D2D">
        <w:rPr>
          <w:rFonts w:asciiTheme="minorHAnsi" w:hAnsiTheme="minorHAnsi"/>
          <w:u w:val="single"/>
        </w:rPr>
        <w:t xml:space="preserve"> in 2018</w:t>
      </w:r>
      <w:r w:rsidR="00446567" w:rsidRPr="005A7D2D">
        <w:rPr>
          <w:rFonts w:asciiTheme="minorHAnsi" w:hAnsiTheme="minorHAnsi"/>
        </w:rPr>
        <w:t xml:space="preserve"> – in this case, information for the 2017 plan should be entered in columns B-</w:t>
      </w:r>
      <w:r w:rsidR="006453B5" w:rsidRPr="005A7D2D">
        <w:rPr>
          <w:rFonts w:asciiTheme="minorHAnsi" w:hAnsiTheme="minorHAnsi"/>
        </w:rPr>
        <w:t>D</w:t>
      </w:r>
      <w:r w:rsidR="00975772" w:rsidRPr="005A7D2D">
        <w:rPr>
          <w:rFonts w:asciiTheme="minorHAnsi" w:hAnsiTheme="minorHAnsi"/>
        </w:rPr>
        <w:t>, W, Z,</w:t>
      </w:r>
      <w:r w:rsidR="00446567" w:rsidRPr="005A7D2D">
        <w:rPr>
          <w:rFonts w:asciiTheme="minorHAnsi" w:hAnsiTheme="minorHAnsi"/>
        </w:rPr>
        <w:t xml:space="preserve"> and AG-AO. </w:t>
      </w:r>
    </w:p>
    <w:p w14:paraId="7D0D37AD" w14:textId="78EB7793" w:rsidR="006453B5" w:rsidRPr="005A7D2D" w:rsidRDefault="003D71A9" w:rsidP="006453B5">
      <w:pPr>
        <w:pStyle w:val="ListParagraph"/>
        <w:numPr>
          <w:ilvl w:val="1"/>
          <w:numId w:val="15"/>
        </w:numPr>
        <w:rPr>
          <w:rFonts w:asciiTheme="minorHAnsi" w:hAnsiTheme="minorHAnsi"/>
        </w:rPr>
      </w:pPr>
      <w:r w:rsidRPr="005A7D2D">
        <w:rPr>
          <w:rFonts w:asciiTheme="minorHAnsi" w:hAnsiTheme="minorHAnsi"/>
        </w:rPr>
        <w:t>If enrollees will be mapped into a 2018 plan</w:t>
      </w:r>
      <w:r w:rsidR="006453B5" w:rsidRPr="005A7D2D">
        <w:rPr>
          <w:rFonts w:asciiTheme="minorHAnsi" w:hAnsiTheme="minorHAnsi"/>
        </w:rPr>
        <w:t>, input “DM” in column E and input the information for the 2018 plan in all other input cells starting at column F.</w:t>
      </w:r>
    </w:p>
    <w:p w14:paraId="2D2A4A7F" w14:textId="28D3FD5F" w:rsidR="00446567" w:rsidRPr="005A7D2D" w:rsidRDefault="003D71A9" w:rsidP="006453B5">
      <w:pPr>
        <w:pStyle w:val="ListParagraph"/>
        <w:numPr>
          <w:ilvl w:val="1"/>
          <w:numId w:val="15"/>
        </w:numPr>
        <w:rPr>
          <w:rFonts w:asciiTheme="minorHAnsi" w:hAnsiTheme="minorHAnsi"/>
        </w:rPr>
      </w:pPr>
      <w:r w:rsidRPr="005A7D2D">
        <w:rPr>
          <w:rFonts w:asciiTheme="minorHAnsi" w:hAnsiTheme="minorHAnsi"/>
        </w:rPr>
        <w:t>If enrollees will not be mapped into a 2018 plan</w:t>
      </w:r>
      <w:r w:rsidR="006453B5" w:rsidRPr="005A7D2D">
        <w:rPr>
          <w:rFonts w:asciiTheme="minorHAnsi" w:hAnsiTheme="minorHAnsi"/>
        </w:rPr>
        <w:t>, input “DNM” in column E and leave all other input cells blank.</w:t>
      </w:r>
    </w:p>
    <w:p w14:paraId="4A78AFBF" w14:textId="77777777" w:rsidR="00A85652" w:rsidRPr="005A7D2D" w:rsidRDefault="00446567" w:rsidP="007E6C90">
      <w:pPr>
        <w:pStyle w:val="ListParagraph"/>
        <w:numPr>
          <w:ilvl w:val="0"/>
          <w:numId w:val="15"/>
        </w:numPr>
        <w:rPr>
          <w:rFonts w:asciiTheme="minorHAnsi" w:hAnsiTheme="minorHAnsi"/>
        </w:rPr>
      </w:pPr>
      <w:r w:rsidRPr="005A7D2D">
        <w:rPr>
          <w:rFonts w:asciiTheme="minorHAnsi" w:hAnsiTheme="minorHAnsi"/>
          <w:u w:val="single"/>
        </w:rPr>
        <w:t>The 2017 plan will be available to some, but not all, enrollees in 2018</w:t>
      </w:r>
      <w:r w:rsidRPr="005A7D2D">
        <w:rPr>
          <w:rFonts w:asciiTheme="minorHAnsi" w:hAnsiTheme="minorHAnsi"/>
        </w:rPr>
        <w:t xml:space="preserve"> due to reductions in service area or </w:t>
      </w:r>
      <w:r w:rsidR="00A85652" w:rsidRPr="005A7D2D">
        <w:rPr>
          <w:rFonts w:asciiTheme="minorHAnsi" w:hAnsiTheme="minorHAnsi"/>
        </w:rPr>
        <w:t xml:space="preserve">change in exchange participation </w:t>
      </w:r>
      <w:r w:rsidRPr="005A7D2D">
        <w:rPr>
          <w:rFonts w:asciiTheme="minorHAnsi" w:hAnsiTheme="minorHAnsi"/>
        </w:rPr>
        <w:t xml:space="preserve">from on-exchange to off-exchange – in this case, multiple rows should be used to account for all 2017 enrollees. </w:t>
      </w:r>
      <w:r w:rsidR="00A85652" w:rsidRPr="005A7D2D">
        <w:rPr>
          <w:rFonts w:asciiTheme="minorHAnsi" w:hAnsiTheme="minorHAnsi"/>
        </w:rPr>
        <w:t xml:space="preserve">Edit the plan numbers in column A as follows – if the 2017 plan with enrollment being split into multiple paths in 2018 is, for example, plan 4 </w:t>
      </w:r>
      <w:r w:rsidR="00D802D2" w:rsidRPr="005A7D2D">
        <w:rPr>
          <w:rFonts w:asciiTheme="minorHAnsi" w:hAnsiTheme="minorHAnsi"/>
        </w:rPr>
        <w:t>according to table 10, input Plan 4a, Plan 4b, Plan 4c, etc., into column A, and then renumber subsequent rows so that they continue with Plan 5, Plan 6, etc.</w:t>
      </w:r>
    </w:p>
    <w:p w14:paraId="5C64CF52" w14:textId="18CDBED6" w:rsidR="006453B5" w:rsidRPr="005A7D2D" w:rsidRDefault="00446567" w:rsidP="006453B5">
      <w:pPr>
        <w:pStyle w:val="ListParagraph"/>
        <w:numPr>
          <w:ilvl w:val="1"/>
          <w:numId w:val="15"/>
        </w:numPr>
        <w:rPr>
          <w:rFonts w:asciiTheme="minorHAnsi" w:hAnsiTheme="minorHAnsi"/>
        </w:rPr>
      </w:pPr>
      <w:r w:rsidRPr="005A7D2D">
        <w:rPr>
          <w:rFonts w:asciiTheme="minorHAnsi" w:hAnsiTheme="minorHAnsi"/>
        </w:rPr>
        <w:lastRenderedPageBreak/>
        <w:t xml:space="preserve">The first row </w:t>
      </w:r>
      <w:r w:rsidR="00D802D2" w:rsidRPr="005A7D2D">
        <w:rPr>
          <w:rFonts w:asciiTheme="minorHAnsi" w:hAnsiTheme="minorHAnsi"/>
        </w:rPr>
        <w:t xml:space="preserve">(“Plan 4a” in this example) </w:t>
      </w:r>
      <w:r w:rsidRPr="005A7D2D">
        <w:rPr>
          <w:rFonts w:asciiTheme="minorHAnsi" w:hAnsiTheme="minorHAnsi"/>
        </w:rPr>
        <w:t xml:space="preserve">should include information on the 2017 enrollees who will be </w:t>
      </w:r>
      <w:r w:rsidRPr="005A7D2D">
        <w:rPr>
          <w:rFonts w:asciiTheme="minorHAnsi" w:hAnsiTheme="minorHAnsi"/>
          <w:u w:val="single"/>
        </w:rPr>
        <w:t xml:space="preserve">mapped into the </w:t>
      </w:r>
      <w:r w:rsidR="00A85652" w:rsidRPr="005A7D2D">
        <w:rPr>
          <w:rFonts w:asciiTheme="minorHAnsi" w:hAnsiTheme="minorHAnsi"/>
          <w:u w:val="single"/>
        </w:rPr>
        <w:t xml:space="preserve">continued </w:t>
      </w:r>
      <w:r w:rsidRPr="005A7D2D">
        <w:rPr>
          <w:rFonts w:asciiTheme="minorHAnsi" w:hAnsiTheme="minorHAnsi"/>
          <w:u w:val="single"/>
        </w:rPr>
        <w:t>2018 plan</w:t>
      </w:r>
      <w:r w:rsidRPr="005A7D2D">
        <w:rPr>
          <w:rFonts w:asciiTheme="minorHAnsi" w:hAnsiTheme="minorHAnsi"/>
        </w:rPr>
        <w:t xml:space="preserve">. </w:t>
      </w:r>
      <w:r w:rsidR="006453B5" w:rsidRPr="005A7D2D">
        <w:rPr>
          <w:rFonts w:asciiTheme="minorHAnsi" w:hAnsiTheme="minorHAnsi"/>
        </w:rPr>
        <w:t xml:space="preserve">Input “M” in column E. Columns </w:t>
      </w:r>
      <w:r w:rsidR="00975772" w:rsidRPr="005A7D2D">
        <w:rPr>
          <w:rFonts w:asciiTheme="minorHAnsi" w:hAnsiTheme="minorHAnsi"/>
        </w:rPr>
        <w:t xml:space="preserve">W and </w:t>
      </w:r>
      <w:r w:rsidR="006453B5" w:rsidRPr="005A7D2D">
        <w:rPr>
          <w:rFonts w:asciiTheme="minorHAnsi" w:hAnsiTheme="minorHAnsi"/>
        </w:rPr>
        <w:t>AG-AO should show numbers for the 2017 enrollees who will be mapped into the continued 2018 plan.</w:t>
      </w:r>
    </w:p>
    <w:p w14:paraId="42984FAF" w14:textId="43BF8E7A" w:rsidR="00D802D2" w:rsidRDefault="00A85652" w:rsidP="007E6C90">
      <w:pPr>
        <w:pStyle w:val="ListParagraph"/>
        <w:numPr>
          <w:ilvl w:val="1"/>
          <w:numId w:val="15"/>
        </w:numPr>
        <w:rPr>
          <w:rFonts w:asciiTheme="minorHAnsi" w:hAnsiTheme="minorHAnsi"/>
        </w:rPr>
      </w:pPr>
      <w:r w:rsidRPr="00D802D2">
        <w:rPr>
          <w:rFonts w:asciiTheme="minorHAnsi" w:hAnsiTheme="minorHAnsi"/>
        </w:rPr>
        <w:t xml:space="preserve">The next row(s) </w:t>
      </w:r>
      <w:r w:rsidR="00D802D2" w:rsidRPr="00D802D2">
        <w:rPr>
          <w:rFonts w:asciiTheme="minorHAnsi" w:hAnsiTheme="minorHAnsi"/>
        </w:rPr>
        <w:t xml:space="preserve">(“Plan 4b” in this example) </w:t>
      </w:r>
      <w:r w:rsidRPr="00D802D2">
        <w:rPr>
          <w:rFonts w:asciiTheme="minorHAnsi" w:hAnsiTheme="minorHAnsi"/>
        </w:rPr>
        <w:t xml:space="preserve">should be used to show information for any 2017 enrollees who will be </w:t>
      </w:r>
      <w:r w:rsidRPr="00F8734F">
        <w:rPr>
          <w:rFonts w:asciiTheme="minorHAnsi" w:hAnsiTheme="minorHAnsi"/>
          <w:u w:val="single"/>
        </w:rPr>
        <w:t>mapped into a different 2018 plan</w:t>
      </w:r>
      <w:r w:rsidRPr="00D802D2">
        <w:rPr>
          <w:rFonts w:asciiTheme="minorHAnsi" w:hAnsiTheme="minorHAnsi"/>
        </w:rPr>
        <w:t xml:space="preserve">. </w:t>
      </w:r>
      <w:r w:rsidR="006453B5" w:rsidRPr="00E421E6">
        <w:rPr>
          <w:rFonts w:asciiTheme="minorHAnsi" w:hAnsiTheme="minorHAnsi"/>
        </w:rPr>
        <w:t xml:space="preserve">Input “DM” in column E.  </w:t>
      </w:r>
      <w:r w:rsidRPr="00D802D2">
        <w:rPr>
          <w:rFonts w:asciiTheme="minorHAnsi" w:hAnsiTheme="minorHAnsi"/>
        </w:rPr>
        <w:t>If 2017 enrollees will be mapped into multiple 2018 plans, use a separate row for each 2018 plan. Columns A-</w:t>
      </w:r>
      <w:r w:rsidR="006453B5">
        <w:rPr>
          <w:rFonts w:asciiTheme="minorHAnsi" w:hAnsiTheme="minorHAnsi"/>
        </w:rPr>
        <w:t>D</w:t>
      </w:r>
      <w:r w:rsidR="00975772">
        <w:rPr>
          <w:rFonts w:asciiTheme="minorHAnsi" w:hAnsiTheme="minorHAnsi"/>
        </w:rPr>
        <w:t xml:space="preserve">, </w:t>
      </w:r>
      <w:r w:rsidR="006453B5">
        <w:rPr>
          <w:rFonts w:asciiTheme="minorHAnsi" w:hAnsiTheme="minorHAnsi"/>
        </w:rPr>
        <w:t>and Z</w:t>
      </w:r>
      <w:r w:rsidRPr="00D802D2">
        <w:rPr>
          <w:rFonts w:asciiTheme="minorHAnsi" w:hAnsiTheme="minorHAnsi"/>
        </w:rPr>
        <w:t xml:space="preserve"> should show information </w:t>
      </w:r>
      <w:r w:rsidR="003F29A7">
        <w:rPr>
          <w:rFonts w:asciiTheme="minorHAnsi" w:hAnsiTheme="minorHAnsi"/>
        </w:rPr>
        <w:t>pertaining to</w:t>
      </w:r>
      <w:r w:rsidRPr="00D802D2">
        <w:rPr>
          <w:rFonts w:asciiTheme="minorHAnsi" w:hAnsiTheme="minorHAnsi"/>
        </w:rPr>
        <w:t xml:space="preserve"> the 2017 plan. Columns </w:t>
      </w:r>
      <w:r w:rsidR="003F29A7">
        <w:rPr>
          <w:rFonts w:asciiTheme="minorHAnsi" w:hAnsiTheme="minorHAnsi"/>
        </w:rPr>
        <w:t>F</w:t>
      </w:r>
      <w:r w:rsidRPr="003F29A7">
        <w:rPr>
          <w:rFonts w:asciiTheme="minorHAnsi" w:hAnsiTheme="minorHAnsi"/>
        </w:rPr>
        <w:t xml:space="preserve">-T should show information </w:t>
      </w:r>
      <w:r w:rsidR="003F29A7">
        <w:rPr>
          <w:rFonts w:asciiTheme="minorHAnsi" w:hAnsiTheme="minorHAnsi"/>
        </w:rPr>
        <w:t>pertaining to</w:t>
      </w:r>
      <w:r w:rsidRPr="003F29A7">
        <w:rPr>
          <w:rFonts w:asciiTheme="minorHAnsi" w:hAnsiTheme="minorHAnsi"/>
        </w:rPr>
        <w:t xml:space="preserve"> the 2018 plan. Columns W and AG-AO should show numbers for the 2017 enrollees who will be mapped to that plan. </w:t>
      </w:r>
    </w:p>
    <w:p w14:paraId="6835C8BC" w14:textId="59E5878E" w:rsidR="00A85652" w:rsidRDefault="00A85652" w:rsidP="007E6C90">
      <w:pPr>
        <w:pStyle w:val="ListParagraph"/>
        <w:numPr>
          <w:ilvl w:val="1"/>
          <w:numId w:val="15"/>
        </w:numPr>
        <w:rPr>
          <w:rFonts w:asciiTheme="minorHAnsi" w:hAnsiTheme="minorHAnsi"/>
        </w:rPr>
      </w:pPr>
      <w:r w:rsidRPr="00D802D2">
        <w:rPr>
          <w:rFonts w:asciiTheme="minorHAnsi" w:hAnsiTheme="minorHAnsi"/>
        </w:rPr>
        <w:t xml:space="preserve">The last row </w:t>
      </w:r>
      <w:r w:rsidR="00D802D2" w:rsidRPr="00D802D2">
        <w:rPr>
          <w:rFonts w:asciiTheme="minorHAnsi" w:hAnsiTheme="minorHAnsi"/>
        </w:rPr>
        <w:t xml:space="preserve">(“Plan 4c” in this example) </w:t>
      </w:r>
      <w:r w:rsidRPr="00D802D2">
        <w:rPr>
          <w:rFonts w:asciiTheme="minorHAnsi" w:hAnsiTheme="minorHAnsi"/>
        </w:rPr>
        <w:t xml:space="preserve">should be used to show information for any 2017 enrollees who will </w:t>
      </w:r>
      <w:r w:rsidRPr="00F8734F">
        <w:rPr>
          <w:rFonts w:asciiTheme="minorHAnsi" w:hAnsiTheme="minorHAnsi"/>
          <w:u w:val="single"/>
        </w:rPr>
        <w:t>not be mapped into a 2018 plan</w:t>
      </w:r>
      <w:r w:rsidRPr="00D802D2">
        <w:rPr>
          <w:rFonts w:asciiTheme="minorHAnsi" w:hAnsiTheme="minorHAnsi"/>
        </w:rPr>
        <w:t xml:space="preserve">. </w:t>
      </w:r>
      <w:r w:rsidR="006453B5">
        <w:rPr>
          <w:rFonts w:asciiTheme="minorHAnsi" w:hAnsiTheme="minorHAnsi"/>
        </w:rPr>
        <w:t>Input “DNM” in column E. Columns A-D and Z should show information on the 2017 plan.</w:t>
      </w:r>
      <w:r w:rsidR="006453B5">
        <w:t xml:space="preserve"> </w:t>
      </w:r>
      <w:r w:rsidR="006453B5">
        <w:rPr>
          <w:rFonts w:asciiTheme="minorHAnsi" w:hAnsiTheme="minorHAnsi"/>
        </w:rPr>
        <w:t>Columns G-T should be blank. Columns W and AG-AO should show the number of 2017 enrollees who will not be mapped to a 2018 plan.</w:t>
      </w:r>
    </w:p>
    <w:p w14:paraId="7262BE2B" w14:textId="029AA0AD" w:rsidR="003F29A7" w:rsidRPr="00D802D2" w:rsidRDefault="003F29A7" w:rsidP="007E6C90">
      <w:pPr>
        <w:pStyle w:val="ListParagraph"/>
        <w:numPr>
          <w:ilvl w:val="0"/>
          <w:numId w:val="15"/>
        </w:numPr>
        <w:rPr>
          <w:rFonts w:asciiTheme="minorHAnsi" w:hAnsiTheme="minorHAnsi"/>
        </w:rPr>
      </w:pPr>
      <w:r w:rsidRPr="003D71A9">
        <w:rPr>
          <w:rFonts w:asciiTheme="minorHAnsi" w:hAnsiTheme="minorHAnsi"/>
          <w:u w:val="single"/>
        </w:rPr>
        <w:t>The plan is new in 2018</w:t>
      </w:r>
      <w:r>
        <w:rPr>
          <w:rFonts w:asciiTheme="minorHAnsi" w:hAnsiTheme="minorHAnsi"/>
        </w:rPr>
        <w:t xml:space="preserve"> – </w:t>
      </w:r>
      <w:r w:rsidR="006453B5">
        <w:rPr>
          <w:rFonts w:asciiTheme="minorHAnsi" w:hAnsiTheme="minorHAnsi"/>
        </w:rPr>
        <w:t>in this case, Columns W, Z, and AG-AO should be left blank.</w:t>
      </w:r>
    </w:p>
    <w:p w14:paraId="49D8A1F5" w14:textId="77777777" w:rsidR="001C73AE" w:rsidRPr="00F8734F" w:rsidRDefault="001A48E8" w:rsidP="00F8734F">
      <w:pPr>
        <w:pStyle w:val="Heading2"/>
        <w:numPr>
          <w:ilvl w:val="0"/>
          <w:numId w:val="39"/>
        </w:numPr>
        <w:rPr>
          <w:rFonts w:asciiTheme="minorHAnsi" w:hAnsiTheme="minorHAnsi"/>
        </w:rPr>
      </w:pPr>
      <w:bookmarkStart w:id="194" w:name="_Toc474316443"/>
      <w:r w:rsidRPr="00F8734F">
        <w:rPr>
          <w:rFonts w:asciiTheme="minorHAnsi" w:hAnsiTheme="minorHAnsi"/>
        </w:rPr>
        <w:t>Mapping Scenarios – Small Group Market</w:t>
      </w:r>
      <w:bookmarkEnd w:id="194"/>
    </w:p>
    <w:p w14:paraId="16CA05AE" w14:textId="767BE85A" w:rsidR="001A48E8" w:rsidRDefault="00A33812" w:rsidP="00417281">
      <w:pPr>
        <w:rPr>
          <w:rFonts w:asciiTheme="minorHAnsi" w:hAnsiTheme="minorHAnsi"/>
        </w:rPr>
      </w:pPr>
      <w:r>
        <w:rPr>
          <w:rFonts w:asciiTheme="minorHAnsi" w:hAnsiTheme="minorHAnsi"/>
        </w:rPr>
        <w:t xml:space="preserve">The instructions presented above for how to present enrollment in Table 10 for an individual market filing should also be followed for a small group market filing. The Department recognizes that many small group market enrollees as of 2/1/17 will still be in plan year 2016 plans. The filer should </w:t>
      </w:r>
      <w:r w:rsidR="006453B5">
        <w:rPr>
          <w:rFonts w:asciiTheme="minorHAnsi" w:hAnsiTheme="minorHAnsi"/>
        </w:rPr>
        <w:t>map</w:t>
      </w:r>
      <w:r>
        <w:rPr>
          <w:rFonts w:asciiTheme="minorHAnsi" w:hAnsiTheme="minorHAnsi"/>
        </w:rPr>
        <w:t xml:space="preserve"> enrollees in plan year 2016 plans to the plan year 2017 plan that the filer anticipates the 2016 enrollees will move into when they renew in 2017. If the 2016 plan has continued in 2017, then the 2016 enrollees should be </w:t>
      </w:r>
      <w:r w:rsidR="006453B5">
        <w:rPr>
          <w:rFonts w:asciiTheme="minorHAnsi" w:hAnsiTheme="minorHAnsi"/>
        </w:rPr>
        <w:t>mapped</w:t>
      </w:r>
      <w:r>
        <w:rPr>
          <w:rFonts w:asciiTheme="minorHAnsi" w:hAnsiTheme="minorHAnsi"/>
        </w:rPr>
        <w:t xml:space="preserve"> to the 2017 plan. If the 2016 plan has not been continued in 2017, then the 2016 enrollees should be </w:t>
      </w:r>
      <w:r w:rsidR="006453B5">
        <w:rPr>
          <w:rFonts w:asciiTheme="minorHAnsi" w:hAnsiTheme="minorHAnsi"/>
        </w:rPr>
        <w:t>mapped</w:t>
      </w:r>
      <w:r>
        <w:rPr>
          <w:rFonts w:asciiTheme="minorHAnsi" w:hAnsiTheme="minorHAnsi"/>
        </w:rPr>
        <w:t xml:space="preserve"> to the 2017 plan that will be </w:t>
      </w:r>
      <w:r w:rsidR="006453B5">
        <w:rPr>
          <w:rFonts w:asciiTheme="minorHAnsi" w:hAnsiTheme="minorHAnsi"/>
        </w:rPr>
        <w:t>offered</w:t>
      </w:r>
      <w:r>
        <w:rPr>
          <w:rFonts w:asciiTheme="minorHAnsi" w:hAnsiTheme="minorHAnsi"/>
        </w:rPr>
        <w:t xml:space="preserve"> to them for renewal. </w:t>
      </w:r>
    </w:p>
    <w:p w14:paraId="7EDECD62" w14:textId="77777777" w:rsidR="00A33812" w:rsidRPr="00F8734F" w:rsidRDefault="00A33812" w:rsidP="00F8734F">
      <w:pPr>
        <w:pStyle w:val="Heading2"/>
        <w:numPr>
          <w:ilvl w:val="0"/>
          <w:numId w:val="39"/>
        </w:numPr>
        <w:rPr>
          <w:rFonts w:asciiTheme="minorHAnsi" w:hAnsiTheme="minorHAnsi"/>
        </w:rPr>
      </w:pPr>
      <w:bookmarkStart w:id="195" w:name="_Toc474316444"/>
      <w:r w:rsidRPr="00F8734F">
        <w:rPr>
          <w:rFonts w:asciiTheme="minorHAnsi" w:hAnsiTheme="minorHAnsi"/>
        </w:rPr>
        <w:t>General Instructions – Individual and Small Group Market</w:t>
      </w:r>
      <w:bookmarkEnd w:id="195"/>
    </w:p>
    <w:p w14:paraId="447A1AB8" w14:textId="77777777" w:rsidR="009E1642" w:rsidRPr="00BA64B4" w:rsidRDefault="009E1642" w:rsidP="00417281">
      <w:pPr>
        <w:rPr>
          <w:rFonts w:asciiTheme="minorHAnsi" w:hAnsiTheme="minorHAnsi"/>
        </w:rPr>
      </w:pPr>
      <w:r w:rsidRPr="00BA64B4">
        <w:rPr>
          <w:rFonts w:asciiTheme="minorHAnsi" w:hAnsiTheme="minorHAnsi"/>
        </w:rPr>
        <w:t xml:space="preserve">The </w:t>
      </w:r>
      <w:r w:rsidR="006D2848" w:rsidRPr="00BA64B4">
        <w:rPr>
          <w:rFonts w:asciiTheme="minorHAnsi" w:hAnsiTheme="minorHAnsi"/>
        </w:rPr>
        <w:t>201</w:t>
      </w:r>
      <w:r w:rsidR="006D2848">
        <w:rPr>
          <w:rFonts w:asciiTheme="minorHAnsi" w:hAnsiTheme="minorHAnsi"/>
        </w:rPr>
        <w:t>7</w:t>
      </w:r>
      <w:r w:rsidR="003F29A7">
        <w:rPr>
          <w:rFonts w:asciiTheme="minorHAnsi" w:hAnsiTheme="minorHAnsi"/>
        </w:rPr>
        <w:t xml:space="preserve"> </w:t>
      </w:r>
      <w:r w:rsidR="00A01ECB" w:rsidRPr="00A01ECB">
        <w:rPr>
          <w:rFonts w:asciiTheme="minorHAnsi" w:hAnsiTheme="minorHAnsi"/>
        </w:rPr>
        <w:t>Calibrated Plan Adjusted Index Rate</w:t>
      </w:r>
      <w:r w:rsidR="00A01ECB">
        <w:rPr>
          <w:rFonts w:asciiTheme="minorHAnsi" w:hAnsiTheme="minorHAnsi"/>
        </w:rPr>
        <w:t xml:space="preserve"> in column Z </w:t>
      </w:r>
      <w:r w:rsidRPr="00BA64B4">
        <w:rPr>
          <w:rFonts w:asciiTheme="minorHAnsi" w:hAnsiTheme="minorHAnsi"/>
        </w:rPr>
        <w:t xml:space="preserve">should reflect the </w:t>
      </w:r>
      <w:r w:rsidR="006D2848" w:rsidRPr="00BA64B4">
        <w:rPr>
          <w:rFonts w:asciiTheme="minorHAnsi" w:hAnsiTheme="minorHAnsi"/>
        </w:rPr>
        <w:t>201</w:t>
      </w:r>
      <w:r w:rsidR="006D2848">
        <w:rPr>
          <w:rFonts w:asciiTheme="minorHAnsi" w:hAnsiTheme="minorHAnsi"/>
        </w:rPr>
        <w:t>7</w:t>
      </w:r>
      <w:r w:rsidR="006D2848" w:rsidRPr="00BA64B4">
        <w:rPr>
          <w:rFonts w:asciiTheme="minorHAnsi" w:hAnsiTheme="minorHAnsi"/>
        </w:rPr>
        <w:t xml:space="preserve"> </w:t>
      </w:r>
      <w:r w:rsidR="00A01ECB">
        <w:rPr>
          <w:rFonts w:asciiTheme="minorHAnsi" w:hAnsiTheme="minorHAnsi"/>
        </w:rPr>
        <w:t>plan</w:t>
      </w:r>
      <w:r w:rsidR="00A01ECB" w:rsidRPr="00BA64B4">
        <w:rPr>
          <w:rFonts w:asciiTheme="minorHAnsi" w:hAnsiTheme="minorHAnsi"/>
        </w:rPr>
        <w:t xml:space="preserve"> </w:t>
      </w:r>
      <w:r w:rsidRPr="00BA64B4">
        <w:rPr>
          <w:rFonts w:asciiTheme="minorHAnsi" w:hAnsiTheme="minorHAnsi"/>
        </w:rPr>
        <w:t xml:space="preserve">and the </w:t>
      </w:r>
      <w:r w:rsidR="006D2848" w:rsidRPr="00BA64B4">
        <w:rPr>
          <w:rFonts w:asciiTheme="minorHAnsi" w:hAnsiTheme="minorHAnsi"/>
        </w:rPr>
        <w:t>201</w:t>
      </w:r>
      <w:r w:rsidR="006D2848">
        <w:rPr>
          <w:rFonts w:asciiTheme="minorHAnsi" w:hAnsiTheme="minorHAnsi"/>
        </w:rPr>
        <w:t>8</w:t>
      </w:r>
      <w:r w:rsidR="003F29A7">
        <w:rPr>
          <w:rFonts w:asciiTheme="minorHAnsi" w:hAnsiTheme="minorHAnsi"/>
        </w:rPr>
        <w:t xml:space="preserve"> </w:t>
      </w:r>
      <w:r w:rsidR="00A01ECB" w:rsidRPr="00A01ECB">
        <w:rPr>
          <w:rFonts w:asciiTheme="minorHAnsi" w:hAnsiTheme="minorHAnsi"/>
        </w:rPr>
        <w:t>Calibrated Plan Adjusted Index Rate</w:t>
      </w:r>
      <w:r w:rsidR="00A01ECB">
        <w:rPr>
          <w:rFonts w:asciiTheme="minorHAnsi" w:hAnsiTheme="minorHAnsi"/>
        </w:rPr>
        <w:t xml:space="preserve"> in column AA </w:t>
      </w:r>
      <w:r w:rsidRPr="00BA64B4">
        <w:rPr>
          <w:rFonts w:asciiTheme="minorHAnsi" w:hAnsiTheme="minorHAnsi"/>
        </w:rPr>
        <w:t xml:space="preserve">should reflect the </w:t>
      </w:r>
      <w:r w:rsidR="006D2848" w:rsidRPr="00BA64B4">
        <w:rPr>
          <w:rFonts w:asciiTheme="minorHAnsi" w:hAnsiTheme="minorHAnsi"/>
        </w:rPr>
        <w:t>201</w:t>
      </w:r>
      <w:r w:rsidR="006D2848">
        <w:rPr>
          <w:rFonts w:asciiTheme="minorHAnsi" w:hAnsiTheme="minorHAnsi"/>
        </w:rPr>
        <w:t>8</w:t>
      </w:r>
      <w:r w:rsidR="006D2848" w:rsidRPr="00BA64B4">
        <w:rPr>
          <w:rFonts w:asciiTheme="minorHAnsi" w:hAnsiTheme="minorHAnsi"/>
        </w:rPr>
        <w:t xml:space="preserve"> </w:t>
      </w:r>
      <w:r w:rsidR="00A01ECB">
        <w:rPr>
          <w:rFonts w:asciiTheme="minorHAnsi" w:hAnsiTheme="minorHAnsi"/>
        </w:rPr>
        <w:t>plan</w:t>
      </w:r>
      <w:r w:rsidRPr="00BA64B4">
        <w:rPr>
          <w:rFonts w:asciiTheme="minorHAnsi" w:hAnsiTheme="minorHAnsi"/>
        </w:rPr>
        <w:t xml:space="preserve">. For new plans, we do not expect to see a </w:t>
      </w:r>
      <w:r w:rsidR="006D2848" w:rsidRPr="00BA64B4">
        <w:rPr>
          <w:rFonts w:asciiTheme="minorHAnsi" w:hAnsiTheme="minorHAnsi"/>
        </w:rPr>
        <w:t>201</w:t>
      </w:r>
      <w:r w:rsidR="006D2848">
        <w:rPr>
          <w:rFonts w:asciiTheme="minorHAnsi" w:hAnsiTheme="minorHAnsi"/>
        </w:rPr>
        <w:t>7</w:t>
      </w:r>
      <w:r w:rsidR="006D2848" w:rsidRPr="00BA64B4">
        <w:rPr>
          <w:rFonts w:asciiTheme="minorHAnsi" w:hAnsiTheme="minorHAnsi"/>
        </w:rPr>
        <w:t xml:space="preserve"> </w:t>
      </w:r>
      <w:r w:rsidRPr="00BA64B4">
        <w:rPr>
          <w:rFonts w:asciiTheme="minorHAnsi" w:hAnsiTheme="minorHAnsi"/>
        </w:rPr>
        <w:t xml:space="preserve">rate. </w:t>
      </w:r>
    </w:p>
    <w:p w14:paraId="1B5FD0E6" w14:textId="77777777" w:rsidR="009E1642" w:rsidRPr="00BA64B4" w:rsidRDefault="009E1642" w:rsidP="00417281">
      <w:pPr>
        <w:rPr>
          <w:rFonts w:asciiTheme="minorHAnsi" w:hAnsiTheme="minorHAnsi"/>
          <w:sz w:val="23"/>
          <w:szCs w:val="23"/>
        </w:rPr>
      </w:pPr>
    </w:p>
    <w:p w14:paraId="45DDC90B" w14:textId="77777777" w:rsidR="00BE044B" w:rsidRPr="00BA64B4" w:rsidRDefault="009E1642" w:rsidP="00417281">
      <w:pPr>
        <w:rPr>
          <w:rFonts w:asciiTheme="minorHAnsi" w:hAnsiTheme="minorHAnsi"/>
        </w:rPr>
      </w:pPr>
      <w:r w:rsidRPr="00BA64B4">
        <w:rPr>
          <w:rFonts w:asciiTheme="minorHAnsi" w:hAnsiTheme="minorHAnsi"/>
        </w:rPr>
        <w:t>Column G requests the metallic tier (Platinum, Gold, Silver, Bronze, and Catastrophic) and column H requires the metallic tier actuarial value. This is the actuarial value that the issuer calculates using the HHS Actuarial Value Calculator. If the HHS Actuarial Value Calculator does not accommodate an issuer’s benefit designs, the issuer has one of two options:</w:t>
      </w:r>
    </w:p>
    <w:p w14:paraId="68767B64" w14:textId="77777777" w:rsidR="009E1642" w:rsidRPr="00BA64B4" w:rsidRDefault="009E1642" w:rsidP="00417281">
      <w:pPr>
        <w:rPr>
          <w:rFonts w:asciiTheme="minorHAnsi" w:hAnsiTheme="minorHAnsi"/>
        </w:rPr>
      </w:pPr>
    </w:p>
    <w:p w14:paraId="2468A7B6" w14:textId="77777777" w:rsidR="009E1642" w:rsidRPr="00BA64B4" w:rsidRDefault="009E1642" w:rsidP="00417281">
      <w:pPr>
        <w:ind w:left="720"/>
        <w:rPr>
          <w:rFonts w:asciiTheme="minorHAnsi" w:hAnsiTheme="minorHAnsi"/>
        </w:rPr>
      </w:pPr>
      <w:r w:rsidRPr="00BA64B4">
        <w:rPr>
          <w:rFonts w:asciiTheme="minorHAnsi" w:hAnsiTheme="minorHAnsi"/>
          <w:u w:val="single"/>
        </w:rPr>
        <w:t>Approach 1</w:t>
      </w:r>
      <w:r w:rsidRPr="00BA64B4">
        <w:rPr>
          <w:rFonts w:asciiTheme="minorHAnsi" w:hAnsiTheme="minorHAnsi"/>
        </w:rPr>
        <w:t xml:space="preserve"> (45 CFR § 156.135(b)(2)): The issuer may adjust the plan benefit design (for calculation purposes only) to fit the parameters of the calculator and have a member of the American Academy of Actuaries certify the methodology.</w:t>
      </w:r>
    </w:p>
    <w:p w14:paraId="5DF6B8AC" w14:textId="77777777" w:rsidR="009E1642" w:rsidRPr="00BA64B4" w:rsidRDefault="009E1642" w:rsidP="00417281">
      <w:pPr>
        <w:ind w:left="720"/>
        <w:rPr>
          <w:rFonts w:asciiTheme="minorHAnsi" w:hAnsiTheme="minorHAnsi"/>
        </w:rPr>
      </w:pPr>
    </w:p>
    <w:p w14:paraId="5D178A3B" w14:textId="77777777" w:rsidR="009E1642" w:rsidRPr="00BA64B4" w:rsidRDefault="009E1642" w:rsidP="00417281">
      <w:pPr>
        <w:ind w:left="720"/>
        <w:rPr>
          <w:rFonts w:asciiTheme="minorHAnsi" w:hAnsiTheme="minorHAnsi"/>
        </w:rPr>
      </w:pPr>
      <w:r w:rsidRPr="00BA64B4">
        <w:rPr>
          <w:rFonts w:asciiTheme="minorHAnsi" w:hAnsiTheme="minorHAnsi"/>
          <w:u w:val="single"/>
        </w:rPr>
        <w:t>Approach 2</w:t>
      </w:r>
      <w:r w:rsidRPr="00BA64B4">
        <w:rPr>
          <w:rFonts w:asciiTheme="minorHAnsi" w:hAnsiTheme="minorHAnsi"/>
        </w:rPr>
        <w:t xml:space="preserve"> (45 CFR § 156.135(b)(3)): The issuer may use the calculator for the plan design provisions that correspond to the parameters of the calculator and then have a member of the American Academy of Actuaries make appropriate adjustments to the actuarial value.</w:t>
      </w:r>
    </w:p>
    <w:p w14:paraId="6B1EDAEA" w14:textId="77777777" w:rsidR="009E1642" w:rsidRPr="00BA64B4" w:rsidRDefault="009E1642" w:rsidP="00417281">
      <w:pPr>
        <w:rPr>
          <w:rFonts w:asciiTheme="minorHAnsi" w:hAnsiTheme="minorHAnsi"/>
        </w:rPr>
      </w:pPr>
    </w:p>
    <w:p w14:paraId="19C128EA" w14:textId="77777777" w:rsidR="009E1642" w:rsidRPr="00BA64B4" w:rsidRDefault="009E1642" w:rsidP="009E1642">
      <w:pPr>
        <w:rPr>
          <w:rFonts w:asciiTheme="minorHAnsi" w:hAnsiTheme="minorHAnsi"/>
        </w:rPr>
      </w:pPr>
      <w:r w:rsidRPr="00BA64B4">
        <w:rPr>
          <w:rFonts w:asciiTheme="minorHAnsi" w:hAnsiTheme="minorHAnsi"/>
        </w:rPr>
        <w:t xml:space="preserve">In Column I, please indicate whether the metallic tier actuarial value was calculated using the HHS Actuarial Value Calculator (“Standard AV”), or whether it was calculated using “Approach 1” or “Approach 2.” </w:t>
      </w:r>
      <w:r w:rsidR="00D76DEE" w:rsidRPr="00BA64B4">
        <w:rPr>
          <w:rFonts w:asciiTheme="minorHAnsi" w:hAnsiTheme="minorHAnsi"/>
        </w:rPr>
        <w:t xml:space="preserve">For those metallic tier actuarial values calculated with the AV calculator, provide screenshots of the calculations. The policy form number should be included on the screenshot. </w:t>
      </w:r>
      <w:r w:rsidRPr="00BA64B4">
        <w:rPr>
          <w:rFonts w:asciiTheme="minorHAnsi" w:hAnsiTheme="minorHAnsi"/>
        </w:rPr>
        <w:t xml:space="preserve">Within the </w:t>
      </w:r>
      <w:r w:rsidR="000C3DAB" w:rsidRPr="00BA64B4">
        <w:rPr>
          <w:rFonts w:asciiTheme="minorHAnsi" w:hAnsiTheme="minorHAnsi"/>
        </w:rPr>
        <w:t xml:space="preserve">PA </w:t>
      </w:r>
      <w:r w:rsidRPr="00BA64B4">
        <w:rPr>
          <w:rFonts w:asciiTheme="minorHAnsi" w:hAnsiTheme="minorHAnsi"/>
        </w:rPr>
        <w:t xml:space="preserve">Actuarial Memorandum, please include the actuarial certifications for those metallic tier actuarial values calculated under Approach 1. The actuarial certification can be found in the federal form, Unique Plan Design Supporting Documentation and </w:t>
      </w:r>
      <w:r w:rsidRPr="00BA64B4">
        <w:rPr>
          <w:rFonts w:asciiTheme="minorHAnsi" w:hAnsiTheme="minorHAnsi"/>
        </w:rPr>
        <w:lastRenderedPageBreak/>
        <w:t xml:space="preserve">Justification. For those metallic tier actuarial values calculated under Approach 2, please provide supporting calculations within the PA Actuarial Memorandum. </w:t>
      </w:r>
    </w:p>
    <w:p w14:paraId="224B4DAF" w14:textId="77777777" w:rsidR="009E1642" w:rsidRPr="00BA64B4" w:rsidRDefault="009E1642" w:rsidP="00417281">
      <w:pPr>
        <w:rPr>
          <w:rFonts w:asciiTheme="minorHAnsi" w:hAnsiTheme="minorHAnsi"/>
        </w:rPr>
      </w:pPr>
    </w:p>
    <w:p w14:paraId="3DF000A6" w14:textId="77777777" w:rsidR="001E0402" w:rsidRPr="00BA64B4" w:rsidRDefault="001E0402" w:rsidP="00417281">
      <w:pPr>
        <w:rPr>
          <w:rFonts w:asciiTheme="minorHAnsi" w:hAnsiTheme="minorHAnsi"/>
        </w:rPr>
      </w:pPr>
      <w:r w:rsidRPr="00BA64B4">
        <w:rPr>
          <w:rFonts w:asciiTheme="minorHAnsi" w:hAnsiTheme="minorHAnsi"/>
        </w:rPr>
        <w:t>In Column J, please indicate whether the plan offering will be through the federally-facilitated Exchange.</w:t>
      </w:r>
    </w:p>
    <w:p w14:paraId="3B55C47C" w14:textId="77777777" w:rsidR="001E0402" w:rsidRPr="00BA64B4" w:rsidRDefault="001E0402" w:rsidP="00417281">
      <w:pPr>
        <w:rPr>
          <w:rFonts w:asciiTheme="minorHAnsi" w:hAnsiTheme="minorHAnsi"/>
        </w:rPr>
      </w:pPr>
    </w:p>
    <w:p w14:paraId="645F9D44" w14:textId="794F6F31" w:rsidR="00643F68" w:rsidRPr="00271157" w:rsidRDefault="009E1642" w:rsidP="00643F68">
      <w:pPr>
        <w:rPr>
          <w:rFonts w:asciiTheme="minorHAnsi" w:hAnsiTheme="minorHAnsi"/>
          <w:i/>
        </w:rPr>
      </w:pPr>
      <w:r w:rsidRPr="00BA64B4">
        <w:rPr>
          <w:rFonts w:asciiTheme="minorHAnsi" w:hAnsiTheme="minorHAnsi"/>
        </w:rPr>
        <w:t xml:space="preserve">Columns </w:t>
      </w:r>
      <w:r w:rsidR="00D76DEE" w:rsidRPr="00BA64B4">
        <w:rPr>
          <w:rFonts w:asciiTheme="minorHAnsi" w:hAnsiTheme="minorHAnsi"/>
        </w:rPr>
        <w:t>K</w:t>
      </w:r>
      <w:r w:rsidRPr="00BA64B4">
        <w:rPr>
          <w:rFonts w:asciiTheme="minorHAnsi" w:hAnsiTheme="minorHAnsi"/>
        </w:rPr>
        <w:t xml:space="preserve"> through </w:t>
      </w:r>
      <w:r w:rsidR="005949E2" w:rsidRPr="00BA64B4">
        <w:rPr>
          <w:rFonts w:asciiTheme="minorHAnsi" w:hAnsiTheme="minorHAnsi"/>
        </w:rPr>
        <w:t>P and R through T</w:t>
      </w:r>
      <w:r w:rsidR="00D76DEE" w:rsidRPr="00BA64B4">
        <w:rPr>
          <w:rFonts w:asciiTheme="minorHAnsi" w:hAnsiTheme="minorHAnsi"/>
        </w:rPr>
        <w:t xml:space="preserve"> </w:t>
      </w:r>
      <w:r w:rsidRPr="00BA64B4">
        <w:rPr>
          <w:rFonts w:asciiTheme="minorHAnsi" w:hAnsiTheme="minorHAnsi"/>
        </w:rPr>
        <w:t xml:space="preserve">require issuers to report the allowable factors to adjust the </w:t>
      </w:r>
      <w:r w:rsidR="00FA684C" w:rsidRPr="00BA64B4">
        <w:rPr>
          <w:rFonts w:asciiTheme="minorHAnsi" w:hAnsiTheme="minorHAnsi"/>
        </w:rPr>
        <w:t>201</w:t>
      </w:r>
      <w:r w:rsidR="00FA684C">
        <w:rPr>
          <w:rFonts w:asciiTheme="minorHAnsi" w:hAnsiTheme="minorHAnsi"/>
        </w:rPr>
        <w:t>8</w:t>
      </w:r>
      <w:r w:rsidR="00FA684C" w:rsidRPr="00BA64B4">
        <w:rPr>
          <w:rFonts w:asciiTheme="minorHAnsi" w:hAnsiTheme="minorHAnsi"/>
        </w:rPr>
        <w:t xml:space="preserve"> </w:t>
      </w:r>
      <w:r w:rsidR="000C3DAB" w:rsidRPr="00BA64B4">
        <w:rPr>
          <w:rFonts w:asciiTheme="minorHAnsi" w:hAnsiTheme="minorHAnsi"/>
        </w:rPr>
        <w:t>market-adjusted index</w:t>
      </w:r>
      <w:r w:rsidRPr="00BA64B4">
        <w:rPr>
          <w:rFonts w:asciiTheme="minorHAnsi" w:hAnsiTheme="minorHAnsi"/>
        </w:rPr>
        <w:t xml:space="preserve"> </w:t>
      </w:r>
      <w:r w:rsidRPr="00271157">
        <w:rPr>
          <w:rFonts w:asciiTheme="minorHAnsi" w:hAnsiTheme="minorHAnsi"/>
        </w:rPr>
        <w:t xml:space="preserve">rate to calculate the </w:t>
      </w:r>
      <w:r w:rsidR="001E0402" w:rsidRPr="00271157">
        <w:rPr>
          <w:rFonts w:asciiTheme="minorHAnsi" w:hAnsiTheme="minorHAnsi"/>
        </w:rPr>
        <w:t>plan adjusted index rate.</w:t>
      </w:r>
      <w:r w:rsidRPr="00271157">
        <w:rPr>
          <w:rFonts w:asciiTheme="minorHAnsi" w:hAnsiTheme="minorHAnsi"/>
        </w:rPr>
        <w:t xml:space="preserve"> </w:t>
      </w:r>
      <w:r w:rsidR="00D76DEE" w:rsidRPr="00271157">
        <w:rPr>
          <w:rFonts w:asciiTheme="minorHAnsi" w:hAnsiTheme="minorHAnsi"/>
        </w:rPr>
        <w:t>Th</w:t>
      </w:r>
      <w:r w:rsidR="005949E2" w:rsidRPr="00271157">
        <w:rPr>
          <w:rFonts w:asciiTheme="minorHAnsi" w:hAnsiTheme="minorHAnsi"/>
        </w:rPr>
        <w:t>e numbers entered in columns K through P</w:t>
      </w:r>
      <w:r w:rsidR="00D76DEE" w:rsidRPr="00271157">
        <w:rPr>
          <w:rFonts w:asciiTheme="minorHAnsi" w:hAnsiTheme="minorHAnsi"/>
        </w:rPr>
        <w:t xml:space="preserve"> should be reported as a </w:t>
      </w:r>
      <w:r w:rsidR="00A01ECB" w:rsidRPr="00271157">
        <w:rPr>
          <w:rFonts w:asciiTheme="minorHAnsi" w:hAnsiTheme="minorHAnsi"/>
        </w:rPr>
        <w:t>multiplier</w:t>
      </w:r>
      <w:r w:rsidR="005949E2" w:rsidRPr="00271157">
        <w:rPr>
          <w:rFonts w:asciiTheme="minorHAnsi" w:hAnsiTheme="minorHAnsi"/>
        </w:rPr>
        <w:t xml:space="preserve">. </w:t>
      </w:r>
      <w:r w:rsidR="00643F68" w:rsidRPr="00271157">
        <w:rPr>
          <w:rFonts w:asciiTheme="minorHAnsi" w:hAnsiTheme="minorHAnsi"/>
        </w:rPr>
        <w:t xml:space="preserve">Please note, these numbers should be normalized using the 2/1/17 member distribution.  </w:t>
      </w:r>
      <w:r w:rsidR="00643F68" w:rsidRPr="00271157">
        <w:rPr>
          <w:rFonts w:asciiTheme="minorHAnsi" w:hAnsiTheme="minorHAnsi"/>
          <w:i/>
        </w:rPr>
        <w:t>[Note: PID requests comment on whether the values reported in columns K through P should be normalized</w:t>
      </w:r>
      <w:r w:rsidR="00287BFE" w:rsidRPr="00271157">
        <w:rPr>
          <w:rFonts w:asciiTheme="minorHAnsi" w:hAnsiTheme="minorHAnsi"/>
          <w:i/>
        </w:rPr>
        <w:t>, and if so, whether they should be normalized based on 2/1/17 enrollment or projected enrollment</w:t>
      </w:r>
      <w:r w:rsidR="00643F68" w:rsidRPr="00271157">
        <w:rPr>
          <w:rFonts w:asciiTheme="minorHAnsi" w:hAnsiTheme="minorHAnsi"/>
          <w:i/>
        </w:rPr>
        <w:t>.]</w:t>
      </w:r>
    </w:p>
    <w:p w14:paraId="432119D6" w14:textId="77777777" w:rsidR="00643F68" w:rsidRPr="00271157" w:rsidRDefault="00643F68" w:rsidP="00643F68">
      <w:pPr>
        <w:rPr>
          <w:rFonts w:asciiTheme="minorHAnsi" w:hAnsiTheme="minorHAnsi"/>
          <w:i/>
        </w:rPr>
      </w:pPr>
    </w:p>
    <w:p w14:paraId="67E9024D" w14:textId="77777777" w:rsidR="00643F68" w:rsidRPr="00271157" w:rsidRDefault="00643F68" w:rsidP="00643F68">
      <w:pPr>
        <w:rPr>
          <w:rFonts w:asciiTheme="minorHAnsi" w:hAnsiTheme="minorHAnsi"/>
        </w:rPr>
      </w:pPr>
      <w:r w:rsidRPr="00271157">
        <w:rPr>
          <w:rFonts w:asciiTheme="minorHAnsi" w:hAnsiTheme="minorHAnsi"/>
        </w:rPr>
        <w:t xml:space="preserve">Using the results in column 8 from the matrix below, populate Table 10 Column K to support the induced utilization included in the AV Pricing inputs.  The actuarial memorandum should include this exhibit, completed, and provide supporting narrative by responding to the </w:t>
      </w:r>
      <w:r w:rsidR="00AE017A" w:rsidRPr="00271157">
        <w:rPr>
          <w:rFonts w:asciiTheme="minorHAnsi" w:hAnsiTheme="minorHAnsi"/>
        </w:rPr>
        <w:t>direction</w:t>
      </w:r>
      <w:r w:rsidRPr="00271157">
        <w:rPr>
          <w:rFonts w:asciiTheme="minorHAnsi" w:hAnsiTheme="minorHAnsi"/>
        </w:rPr>
        <w:t xml:space="preserve"> following the table.  </w:t>
      </w:r>
    </w:p>
    <w:p w14:paraId="710A42D3" w14:textId="77777777" w:rsidR="00643F68" w:rsidRPr="00271157" w:rsidRDefault="00643F68" w:rsidP="00643F68">
      <w:pPr>
        <w:pStyle w:val="BodyText"/>
        <w:widowControl w:val="0"/>
        <w:tabs>
          <w:tab w:val="clear" w:pos="576"/>
          <w:tab w:val="clear" w:pos="2016"/>
          <w:tab w:val="clear" w:pos="3456"/>
          <w:tab w:val="clear" w:pos="4896"/>
          <w:tab w:val="left" w:pos="1192"/>
        </w:tabs>
        <w:suppressAutoHyphens w:val="0"/>
        <w:ind w:right="434"/>
        <w:rPr>
          <w:rFonts w:asciiTheme="minorHAnsi" w:hAnsiTheme="minorHAnsi"/>
          <w:szCs w:val="22"/>
        </w:rPr>
      </w:pPr>
    </w:p>
    <w:tbl>
      <w:tblPr>
        <w:tblW w:w="10072" w:type="dxa"/>
        <w:jc w:val="center"/>
        <w:tblLayout w:type="fixed"/>
        <w:tblCellMar>
          <w:left w:w="0" w:type="dxa"/>
          <w:right w:w="0" w:type="dxa"/>
        </w:tblCellMar>
        <w:tblLook w:val="01E0" w:firstRow="1" w:lastRow="1" w:firstColumn="1" w:lastColumn="1" w:noHBand="0" w:noVBand="0"/>
      </w:tblPr>
      <w:tblGrid>
        <w:gridCol w:w="1058"/>
        <w:gridCol w:w="1405"/>
        <w:gridCol w:w="1595"/>
        <w:gridCol w:w="1340"/>
        <w:gridCol w:w="1278"/>
        <w:gridCol w:w="1274"/>
        <w:gridCol w:w="1405"/>
        <w:gridCol w:w="717"/>
      </w:tblGrid>
      <w:tr w:rsidR="00643F68" w:rsidRPr="00271157" w14:paraId="28D8DB2D" w14:textId="77777777" w:rsidTr="00643F68">
        <w:trPr>
          <w:trHeight w:val="312"/>
          <w:jc w:val="center"/>
        </w:trPr>
        <w:tc>
          <w:tcPr>
            <w:tcW w:w="10072" w:type="dxa"/>
            <w:gridSpan w:val="8"/>
            <w:tcBorders>
              <w:top w:val="single" w:sz="5" w:space="0" w:color="000000"/>
              <w:left w:val="single" w:sz="5" w:space="0" w:color="000000"/>
              <w:bottom w:val="nil"/>
              <w:right w:val="single" w:sz="4" w:space="0" w:color="auto"/>
            </w:tcBorders>
          </w:tcPr>
          <w:p w14:paraId="31B28659" w14:textId="77777777" w:rsidR="00643F68" w:rsidRPr="00271157" w:rsidRDefault="00643F68" w:rsidP="00CE2B99">
            <w:pPr>
              <w:widowControl w:val="0"/>
              <w:rPr>
                <w:rFonts w:asciiTheme="minorHAnsi" w:hAnsiTheme="minorHAnsi"/>
                <w:spacing w:val="-5"/>
                <w:szCs w:val="22"/>
              </w:rPr>
            </w:pPr>
            <w:r w:rsidRPr="00271157">
              <w:rPr>
                <w:rFonts w:asciiTheme="minorHAnsi" w:hAnsiTheme="minorHAnsi"/>
                <w:spacing w:val="-5"/>
                <w:szCs w:val="22"/>
              </w:rPr>
              <w:t xml:space="preserve">  Induced Utilization Exhibit</w:t>
            </w:r>
          </w:p>
        </w:tc>
      </w:tr>
      <w:tr w:rsidR="00643F68" w:rsidRPr="00271157" w14:paraId="4278FD25" w14:textId="77777777" w:rsidTr="00643F68">
        <w:trPr>
          <w:trHeight w:val="1"/>
          <w:jc w:val="center"/>
        </w:trPr>
        <w:tc>
          <w:tcPr>
            <w:tcW w:w="1058" w:type="dxa"/>
            <w:tcBorders>
              <w:top w:val="single" w:sz="5" w:space="0" w:color="000000"/>
              <w:left w:val="single" w:sz="5" w:space="0" w:color="000000"/>
              <w:bottom w:val="nil"/>
              <w:right w:val="single" w:sz="5" w:space="0" w:color="000000"/>
            </w:tcBorders>
          </w:tcPr>
          <w:p w14:paraId="225D14D5" w14:textId="77777777" w:rsidR="00643F68" w:rsidRPr="00271157" w:rsidRDefault="00643F68" w:rsidP="00CE2B99">
            <w:pPr>
              <w:widowControl w:val="0"/>
              <w:rPr>
                <w:rFonts w:asciiTheme="minorHAnsi" w:hAnsiTheme="minorHAnsi"/>
                <w:spacing w:val="-5"/>
                <w:szCs w:val="22"/>
              </w:rPr>
            </w:pPr>
          </w:p>
        </w:tc>
        <w:tc>
          <w:tcPr>
            <w:tcW w:w="1405" w:type="dxa"/>
            <w:tcBorders>
              <w:top w:val="single" w:sz="5" w:space="0" w:color="000000"/>
              <w:left w:val="single" w:sz="5" w:space="0" w:color="000000"/>
              <w:bottom w:val="nil"/>
              <w:right w:val="single" w:sz="5" w:space="0" w:color="000000"/>
            </w:tcBorders>
          </w:tcPr>
          <w:p w14:paraId="67F4EDCB" w14:textId="77777777" w:rsidR="00643F68" w:rsidRPr="00271157" w:rsidRDefault="00643F68" w:rsidP="00CE2B99">
            <w:pPr>
              <w:widowControl w:val="0"/>
              <w:rPr>
                <w:rFonts w:asciiTheme="minorHAnsi" w:hAnsiTheme="minorHAnsi"/>
                <w:spacing w:val="-5"/>
                <w:szCs w:val="22"/>
              </w:rPr>
            </w:pPr>
          </w:p>
        </w:tc>
        <w:tc>
          <w:tcPr>
            <w:tcW w:w="1595" w:type="dxa"/>
            <w:tcBorders>
              <w:top w:val="single" w:sz="5" w:space="0" w:color="000000"/>
              <w:left w:val="single" w:sz="5" w:space="0" w:color="000000"/>
              <w:bottom w:val="nil"/>
              <w:right w:val="single" w:sz="5" w:space="0" w:color="000000"/>
            </w:tcBorders>
          </w:tcPr>
          <w:p w14:paraId="3A536A59" w14:textId="77777777" w:rsidR="00643F68" w:rsidRPr="00271157" w:rsidRDefault="00643F68" w:rsidP="00CE2B99">
            <w:pPr>
              <w:widowControl w:val="0"/>
              <w:rPr>
                <w:rFonts w:asciiTheme="minorHAnsi" w:hAnsiTheme="minorHAnsi"/>
                <w:spacing w:val="-5"/>
                <w:szCs w:val="22"/>
              </w:rPr>
            </w:pPr>
          </w:p>
        </w:tc>
        <w:tc>
          <w:tcPr>
            <w:tcW w:w="1340" w:type="dxa"/>
            <w:tcBorders>
              <w:top w:val="single" w:sz="5" w:space="0" w:color="000000"/>
              <w:left w:val="single" w:sz="5" w:space="0" w:color="000000"/>
              <w:bottom w:val="nil"/>
              <w:right w:val="single" w:sz="5" w:space="0" w:color="000000"/>
            </w:tcBorders>
          </w:tcPr>
          <w:p w14:paraId="2D23BDDD" w14:textId="77777777" w:rsidR="00643F68" w:rsidRPr="00271157" w:rsidRDefault="00643F68" w:rsidP="00CE2B99">
            <w:pPr>
              <w:widowControl w:val="0"/>
              <w:spacing w:before="55"/>
              <w:ind w:left="198"/>
              <w:rPr>
                <w:rFonts w:asciiTheme="minorHAnsi" w:hAnsiTheme="minorHAnsi"/>
                <w:spacing w:val="-5"/>
                <w:szCs w:val="22"/>
              </w:rPr>
            </w:pPr>
            <w:r w:rsidRPr="00271157">
              <w:rPr>
                <w:rFonts w:asciiTheme="minorHAnsi" w:hAnsiTheme="minorHAnsi"/>
                <w:spacing w:val="-5"/>
                <w:szCs w:val="22"/>
              </w:rPr>
              <w:t>Projected</w:t>
            </w:r>
          </w:p>
        </w:tc>
        <w:tc>
          <w:tcPr>
            <w:tcW w:w="1278" w:type="dxa"/>
            <w:tcBorders>
              <w:top w:val="single" w:sz="5" w:space="0" w:color="000000"/>
              <w:left w:val="single" w:sz="5" w:space="0" w:color="000000"/>
              <w:bottom w:val="nil"/>
              <w:right w:val="single" w:sz="5" w:space="0" w:color="000000"/>
            </w:tcBorders>
          </w:tcPr>
          <w:p w14:paraId="4F377F7B" w14:textId="77777777" w:rsidR="00643F68" w:rsidRPr="00271157" w:rsidRDefault="00643F68" w:rsidP="00CE2B99">
            <w:pPr>
              <w:widowControl w:val="0"/>
              <w:spacing w:before="55"/>
              <w:ind w:left="169"/>
              <w:rPr>
                <w:rFonts w:asciiTheme="minorHAnsi" w:hAnsiTheme="minorHAnsi"/>
                <w:spacing w:val="-5"/>
                <w:szCs w:val="22"/>
              </w:rPr>
            </w:pPr>
            <w:r w:rsidRPr="00271157">
              <w:rPr>
                <w:rFonts w:asciiTheme="minorHAnsi" w:hAnsiTheme="minorHAnsi"/>
                <w:spacing w:val="-5"/>
                <w:szCs w:val="22"/>
              </w:rPr>
              <w:t>Projected</w:t>
            </w:r>
          </w:p>
        </w:tc>
        <w:tc>
          <w:tcPr>
            <w:tcW w:w="1274" w:type="dxa"/>
            <w:tcBorders>
              <w:top w:val="single" w:sz="5" w:space="0" w:color="000000"/>
              <w:left w:val="single" w:sz="5" w:space="0" w:color="000000"/>
              <w:bottom w:val="nil"/>
              <w:right w:val="single" w:sz="5" w:space="0" w:color="000000"/>
            </w:tcBorders>
          </w:tcPr>
          <w:p w14:paraId="1F22745E" w14:textId="77777777" w:rsidR="00643F68" w:rsidRPr="00271157" w:rsidRDefault="00643F68" w:rsidP="00CE2B99">
            <w:pPr>
              <w:widowControl w:val="0"/>
              <w:spacing w:before="55"/>
              <w:ind w:left="193"/>
              <w:rPr>
                <w:rFonts w:asciiTheme="minorHAnsi" w:hAnsiTheme="minorHAnsi"/>
                <w:spacing w:val="-5"/>
                <w:szCs w:val="22"/>
              </w:rPr>
            </w:pPr>
            <w:r w:rsidRPr="00271157">
              <w:rPr>
                <w:rFonts w:asciiTheme="minorHAnsi" w:hAnsiTheme="minorHAnsi"/>
                <w:spacing w:val="-5"/>
                <w:szCs w:val="22"/>
              </w:rPr>
              <w:t>Paid-To-</w:t>
            </w:r>
          </w:p>
        </w:tc>
        <w:tc>
          <w:tcPr>
            <w:tcW w:w="1405" w:type="dxa"/>
            <w:tcBorders>
              <w:top w:val="single" w:sz="5" w:space="0" w:color="000000"/>
              <w:left w:val="single" w:sz="5" w:space="0" w:color="000000"/>
              <w:bottom w:val="nil"/>
              <w:right w:val="single" w:sz="6" w:space="0" w:color="000000"/>
            </w:tcBorders>
          </w:tcPr>
          <w:p w14:paraId="07D6F618" w14:textId="77777777" w:rsidR="00643F68" w:rsidRPr="00271157" w:rsidRDefault="00643F68" w:rsidP="00CE2B99">
            <w:pPr>
              <w:widowControl w:val="0"/>
              <w:spacing w:before="55"/>
              <w:ind w:left="142"/>
              <w:rPr>
                <w:rFonts w:asciiTheme="minorHAnsi" w:hAnsiTheme="minorHAnsi"/>
                <w:spacing w:val="-5"/>
                <w:szCs w:val="22"/>
              </w:rPr>
            </w:pPr>
            <w:r w:rsidRPr="00271157">
              <w:rPr>
                <w:rFonts w:asciiTheme="minorHAnsi" w:hAnsiTheme="minorHAnsi"/>
                <w:spacing w:val="-5"/>
                <w:szCs w:val="22"/>
              </w:rPr>
              <w:t>AV &amp; Cost</w:t>
            </w:r>
          </w:p>
        </w:tc>
        <w:tc>
          <w:tcPr>
            <w:tcW w:w="717" w:type="dxa"/>
            <w:tcBorders>
              <w:top w:val="single" w:sz="6" w:space="0" w:color="000000"/>
              <w:left w:val="single" w:sz="6" w:space="0" w:color="000000"/>
              <w:bottom w:val="nil"/>
              <w:right w:val="single" w:sz="4" w:space="0" w:color="auto"/>
            </w:tcBorders>
          </w:tcPr>
          <w:p w14:paraId="5CABB62E" w14:textId="77777777" w:rsidR="00643F68" w:rsidRPr="00271157" w:rsidRDefault="00643F68" w:rsidP="00CE2B99">
            <w:pPr>
              <w:widowControl w:val="0"/>
              <w:rPr>
                <w:rFonts w:asciiTheme="minorHAnsi" w:hAnsiTheme="minorHAnsi"/>
                <w:spacing w:val="-5"/>
                <w:szCs w:val="22"/>
              </w:rPr>
            </w:pPr>
          </w:p>
        </w:tc>
      </w:tr>
      <w:tr w:rsidR="00643F68" w:rsidRPr="00271157" w14:paraId="65C7733B" w14:textId="77777777" w:rsidTr="00643F68">
        <w:trPr>
          <w:trHeight w:val="1"/>
          <w:jc w:val="center"/>
        </w:trPr>
        <w:tc>
          <w:tcPr>
            <w:tcW w:w="1058" w:type="dxa"/>
            <w:tcBorders>
              <w:top w:val="nil"/>
              <w:left w:val="single" w:sz="5" w:space="0" w:color="000000"/>
              <w:bottom w:val="nil"/>
              <w:right w:val="single" w:sz="5" w:space="0" w:color="000000"/>
            </w:tcBorders>
          </w:tcPr>
          <w:p w14:paraId="369446A3" w14:textId="77777777" w:rsidR="00643F68" w:rsidRPr="00271157" w:rsidRDefault="00643F68" w:rsidP="00CE2B99">
            <w:pPr>
              <w:widowControl w:val="0"/>
              <w:rPr>
                <w:rFonts w:asciiTheme="minorHAnsi" w:hAnsiTheme="minorHAnsi"/>
                <w:spacing w:val="-5"/>
                <w:szCs w:val="22"/>
              </w:rPr>
            </w:pPr>
          </w:p>
        </w:tc>
        <w:tc>
          <w:tcPr>
            <w:tcW w:w="1405" w:type="dxa"/>
            <w:tcBorders>
              <w:top w:val="nil"/>
              <w:left w:val="single" w:sz="5" w:space="0" w:color="000000"/>
              <w:bottom w:val="nil"/>
              <w:right w:val="single" w:sz="5" w:space="0" w:color="000000"/>
            </w:tcBorders>
          </w:tcPr>
          <w:p w14:paraId="7166BF04" w14:textId="77777777" w:rsidR="00643F68" w:rsidRPr="00271157" w:rsidRDefault="00643F68" w:rsidP="00CE2B99">
            <w:pPr>
              <w:widowControl w:val="0"/>
              <w:rPr>
                <w:rFonts w:asciiTheme="minorHAnsi" w:hAnsiTheme="minorHAnsi"/>
                <w:spacing w:val="-5"/>
                <w:szCs w:val="22"/>
              </w:rPr>
            </w:pPr>
          </w:p>
        </w:tc>
        <w:tc>
          <w:tcPr>
            <w:tcW w:w="1595" w:type="dxa"/>
            <w:tcBorders>
              <w:top w:val="nil"/>
              <w:left w:val="single" w:sz="5" w:space="0" w:color="000000"/>
              <w:bottom w:val="nil"/>
              <w:right w:val="single" w:sz="5" w:space="0" w:color="000000"/>
            </w:tcBorders>
          </w:tcPr>
          <w:p w14:paraId="0DBAFA90" w14:textId="77777777" w:rsidR="00643F68" w:rsidRPr="00271157" w:rsidRDefault="00643F68" w:rsidP="00CE2B99">
            <w:pPr>
              <w:widowControl w:val="0"/>
              <w:spacing w:before="19"/>
              <w:ind w:left="291"/>
              <w:rPr>
                <w:rFonts w:asciiTheme="minorHAnsi" w:hAnsiTheme="minorHAnsi"/>
                <w:spacing w:val="-5"/>
                <w:szCs w:val="22"/>
              </w:rPr>
            </w:pPr>
            <w:r w:rsidRPr="00271157">
              <w:rPr>
                <w:rFonts w:asciiTheme="minorHAnsi" w:hAnsiTheme="minorHAnsi"/>
                <w:spacing w:val="-5"/>
                <w:szCs w:val="22"/>
              </w:rPr>
              <w:t>Projected</w:t>
            </w:r>
          </w:p>
        </w:tc>
        <w:tc>
          <w:tcPr>
            <w:tcW w:w="1340" w:type="dxa"/>
            <w:tcBorders>
              <w:top w:val="nil"/>
              <w:left w:val="single" w:sz="5" w:space="0" w:color="000000"/>
              <w:bottom w:val="nil"/>
              <w:right w:val="single" w:sz="5" w:space="0" w:color="000000"/>
            </w:tcBorders>
          </w:tcPr>
          <w:p w14:paraId="592B0E66" w14:textId="77777777" w:rsidR="00643F68" w:rsidRPr="00271157" w:rsidRDefault="00643F68" w:rsidP="00CE2B99">
            <w:pPr>
              <w:widowControl w:val="0"/>
              <w:spacing w:before="19"/>
              <w:ind w:left="234"/>
              <w:rPr>
                <w:rFonts w:asciiTheme="minorHAnsi" w:hAnsiTheme="minorHAnsi"/>
                <w:spacing w:val="-5"/>
                <w:szCs w:val="22"/>
              </w:rPr>
            </w:pPr>
            <w:r w:rsidRPr="00271157">
              <w:rPr>
                <w:rFonts w:asciiTheme="minorHAnsi" w:hAnsiTheme="minorHAnsi"/>
                <w:spacing w:val="-5"/>
                <w:szCs w:val="22"/>
              </w:rPr>
              <w:t>Allowed</w:t>
            </w:r>
          </w:p>
        </w:tc>
        <w:tc>
          <w:tcPr>
            <w:tcW w:w="1278" w:type="dxa"/>
            <w:tcBorders>
              <w:top w:val="nil"/>
              <w:left w:val="single" w:sz="5" w:space="0" w:color="000000"/>
              <w:bottom w:val="nil"/>
              <w:right w:val="single" w:sz="5" w:space="0" w:color="000000"/>
            </w:tcBorders>
          </w:tcPr>
          <w:p w14:paraId="63D43FB6" w14:textId="77777777" w:rsidR="00643F68" w:rsidRPr="00271157" w:rsidRDefault="00643F68" w:rsidP="00CE2B99">
            <w:pPr>
              <w:widowControl w:val="0"/>
              <w:spacing w:before="19"/>
              <w:ind w:left="387"/>
              <w:rPr>
                <w:rFonts w:asciiTheme="minorHAnsi" w:hAnsiTheme="minorHAnsi"/>
                <w:spacing w:val="-5"/>
                <w:szCs w:val="22"/>
              </w:rPr>
            </w:pPr>
            <w:r w:rsidRPr="00271157">
              <w:rPr>
                <w:rFonts w:asciiTheme="minorHAnsi" w:hAnsiTheme="minorHAnsi"/>
                <w:spacing w:val="-5"/>
                <w:szCs w:val="22"/>
              </w:rPr>
              <w:t>Paid</w:t>
            </w:r>
          </w:p>
        </w:tc>
        <w:tc>
          <w:tcPr>
            <w:tcW w:w="1274" w:type="dxa"/>
            <w:tcBorders>
              <w:top w:val="nil"/>
              <w:left w:val="single" w:sz="5" w:space="0" w:color="000000"/>
              <w:bottom w:val="nil"/>
              <w:right w:val="single" w:sz="5" w:space="0" w:color="000000"/>
            </w:tcBorders>
          </w:tcPr>
          <w:p w14:paraId="609D0F18" w14:textId="77777777" w:rsidR="00643F68" w:rsidRPr="00271157" w:rsidRDefault="00643F68" w:rsidP="00CE2B99">
            <w:pPr>
              <w:widowControl w:val="0"/>
              <w:spacing w:before="19"/>
              <w:ind w:left="205"/>
              <w:rPr>
                <w:rFonts w:asciiTheme="minorHAnsi" w:hAnsiTheme="minorHAnsi"/>
                <w:spacing w:val="-5"/>
                <w:szCs w:val="22"/>
              </w:rPr>
            </w:pPr>
            <w:r w:rsidRPr="00271157">
              <w:rPr>
                <w:rFonts w:asciiTheme="minorHAnsi" w:hAnsiTheme="minorHAnsi"/>
                <w:spacing w:val="-5"/>
                <w:szCs w:val="22"/>
              </w:rPr>
              <w:t>Allowed</w:t>
            </w:r>
          </w:p>
        </w:tc>
        <w:tc>
          <w:tcPr>
            <w:tcW w:w="1405" w:type="dxa"/>
            <w:tcBorders>
              <w:top w:val="nil"/>
              <w:left w:val="single" w:sz="5" w:space="0" w:color="000000"/>
              <w:bottom w:val="nil"/>
              <w:right w:val="single" w:sz="6" w:space="0" w:color="000000"/>
            </w:tcBorders>
          </w:tcPr>
          <w:p w14:paraId="0458EDBB" w14:textId="77777777" w:rsidR="00643F68" w:rsidRPr="00271157" w:rsidRDefault="00643F68" w:rsidP="00CE2B99">
            <w:pPr>
              <w:widowControl w:val="0"/>
              <w:spacing w:before="19"/>
              <w:ind w:left="301"/>
              <w:rPr>
                <w:rFonts w:asciiTheme="minorHAnsi" w:hAnsiTheme="minorHAnsi"/>
                <w:spacing w:val="-5"/>
                <w:szCs w:val="22"/>
              </w:rPr>
            </w:pPr>
            <w:r w:rsidRPr="00271157">
              <w:rPr>
                <w:rFonts w:asciiTheme="minorHAnsi" w:hAnsiTheme="minorHAnsi"/>
                <w:spacing w:val="-5"/>
                <w:szCs w:val="22"/>
              </w:rPr>
              <w:t>Sharing</w:t>
            </w:r>
          </w:p>
        </w:tc>
        <w:tc>
          <w:tcPr>
            <w:tcW w:w="717" w:type="dxa"/>
            <w:tcBorders>
              <w:top w:val="nil"/>
              <w:left w:val="single" w:sz="6" w:space="0" w:color="000000"/>
              <w:bottom w:val="nil"/>
              <w:right w:val="single" w:sz="4" w:space="0" w:color="auto"/>
            </w:tcBorders>
          </w:tcPr>
          <w:p w14:paraId="62A4C286" w14:textId="77777777" w:rsidR="00643F68" w:rsidRPr="00271157" w:rsidRDefault="00643F68" w:rsidP="00643F68">
            <w:pPr>
              <w:widowControl w:val="0"/>
              <w:jc w:val="center"/>
              <w:rPr>
                <w:rFonts w:asciiTheme="minorHAnsi" w:hAnsiTheme="minorHAnsi"/>
                <w:spacing w:val="-5"/>
                <w:szCs w:val="22"/>
              </w:rPr>
            </w:pPr>
            <w:r w:rsidRPr="00271157">
              <w:rPr>
                <w:rFonts w:asciiTheme="minorHAnsi" w:hAnsiTheme="minorHAnsi"/>
                <w:spacing w:val="-5"/>
                <w:szCs w:val="22"/>
              </w:rPr>
              <w:t>(7)/(6)</w:t>
            </w:r>
          </w:p>
        </w:tc>
      </w:tr>
      <w:tr w:rsidR="00643F68" w:rsidRPr="00271157" w14:paraId="5015DDCE" w14:textId="77777777" w:rsidTr="00643F68">
        <w:trPr>
          <w:trHeight w:val="1"/>
          <w:jc w:val="center"/>
        </w:trPr>
        <w:tc>
          <w:tcPr>
            <w:tcW w:w="1058" w:type="dxa"/>
            <w:tcBorders>
              <w:top w:val="nil"/>
              <w:left w:val="single" w:sz="5" w:space="0" w:color="000000"/>
              <w:bottom w:val="nil"/>
              <w:right w:val="single" w:sz="5" w:space="0" w:color="000000"/>
            </w:tcBorders>
          </w:tcPr>
          <w:p w14:paraId="2F9C957F" w14:textId="77777777" w:rsidR="00643F68" w:rsidRPr="00271157" w:rsidRDefault="00643F68" w:rsidP="00CE2B99">
            <w:pPr>
              <w:widowControl w:val="0"/>
              <w:spacing w:before="19"/>
              <w:ind w:left="142"/>
              <w:rPr>
                <w:rFonts w:asciiTheme="minorHAnsi" w:hAnsiTheme="minorHAnsi"/>
                <w:spacing w:val="-5"/>
                <w:szCs w:val="22"/>
              </w:rPr>
            </w:pPr>
            <w:r w:rsidRPr="00271157">
              <w:rPr>
                <w:rFonts w:asciiTheme="minorHAnsi" w:hAnsiTheme="minorHAnsi"/>
                <w:spacing w:val="-5"/>
                <w:szCs w:val="22"/>
              </w:rPr>
              <w:t>Plan ID</w:t>
            </w:r>
          </w:p>
        </w:tc>
        <w:tc>
          <w:tcPr>
            <w:tcW w:w="1405" w:type="dxa"/>
            <w:tcBorders>
              <w:top w:val="nil"/>
              <w:left w:val="single" w:sz="5" w:space="0" w:color="000000"/>
              <w:bottom w:val="nil"/>
              <w:right w:val="single" w:sz="5" w:space="0" w:color="000000"/>
            </w:tcBorders>
          </w:tcPr>
          <w:p w14:paraId="251FF4AB" w14:textId="77777777" w:rsidR="00643F68" w:rsidRPr="00271157" w:rsidRDefault="00643F68" w:rsidP="00CE2B99">
            <w:pPr>
              <w:widowControl w:val="0"/>
              <w:spacing w:before="19"/>
              <w:ind w:left="109"/>
              <w:rPr>
                <w:rFonts w:asciiTheme="minorHAnsi" w:hAnsiTheme="minorHAnsi"/>
                <w:spacing w:val="-5"/>
                <w:szCs w:val="22"/>
              </w:rPr>
            </w:pPr>
            <w:r w:rsidRPr="00271157">
              <w:rPr>
                <w:rFonts w:asciiTheme="minorHAnsi" w:hAnsiTheme="minorHAnsi"/>
                <w:spacing w:val="-5"/>
                <w:szCs w:val="22"/>
              </w:rPr>
              <w:t>Metal Level</w:t>
            </w:r>
          </w:p>
        </w:tc>
        <w:tc>
          <w:tcPr>
            <w:tcW w:w="1595" w:type="dxa"/>
            <w:tcBorders>
              <w:top w:val="nil"/>
              <w:left w:val="single" w:sz="5" w:space="0" w:color="000000"/>
              <w:bottom w:val="nil"/>
              <w:right w:val="single" w:sz="5" w:space="0" w:color="000000"/>
            </w:tcBorders>
          </w:tcPr>
          <w:p w14:paraId="55F9FB31" w14:textId="77777777" w:rsidR="00643F68" w:rsidRPr="00271157" w:rsidRDefault="00643F68" w:rsidP="00CE2B99">
            <w:pPr>
              <w:widowControl w:val="0"/>
              <w:spacing w:before="19"/>
              <w:ind w:left="179"/>
              <w:rPr>
                <w:rFonts w:asciiTheme="minorHAnsi" w:hAnsiTheme="minorHAnsi"/>
                <w:spacing w:val="-5"/>
                <w:szCs w:val="22"/>
              </w:rPr>
            </w:pPr>
            <w:r w:rsidRPr="00271157">
              <w:rPr>
                <w:rFonts w:asciiTheme="minorHAnsi" w:hAnsiTheme="minorHAnsi"/>
                <w:spacing w:val="-5"/>
                <w:szCs w:val="22"/>
              </w:rPr>
              <w:t>Membership</w:t>
            </w:r>
          </w:p>
        </w:tc>
        <w:tc>
          <w:tcPr>
            <w:tcW w:w="1340" w:type="dxa"/>
            <w:tcBorders>
              <w:top w:val="nil"/>
              <w:left w:val="single" w:sz="5" w:space="0" w:color="000000"/>
              <w:bottom w:val="nil"/>
              <w:right w:val="single" w:sz="5" w:space="0" w:color="000000"/>
            </w:tcBorders>
          </w:tcPr>
          <w:p w14:paraId="7226740B" w14:textId="77777777" w:rsidR="00643F68" w:rsidRPr="00271157" w:rsidRDefault="00643F68" w:rsidP="00CE2B99">
            <w:pPr>
              <w:widowControl w:val="0"/>
              <w:spacing w:before="19"/>
              <w:ind w:left="301"/>
              <w:rPr>
                <w:rFonts w:asciiTheme="minorHAnsi" w:hAnsiTheme="minorHAnsi"/>
                <w:spacing w:val="-5"/>
                <w:szCs w:val="22"/>
              </w:rPr>
            </w:pPr>
            <w:r w:rsidRPr="00271157">
              <w:rPr>
                <w:rFonts w:asciiTheme="minorHAnsi" w:hAnsiTheme="minorHAnsi"/>
                <w:spacing w:val="-5"/>
                <w:szCs w:val="22"/>
              </w:rPr>
              <w:t>Claims</w:t>
            </w:r>
          </w:p>
        </w:tc>
        <w:tc>
          <w:tcPr>
            <w:tcW w:w="1278" w:type="dxa"/>
            <w:tcBorders>
              <w:top w:val="nil"/>
              <w:left w:val="single" w:sz="5" w:space="0" w:color="000000"/>
              <w:bottom w:val="nil"/>
              <w:right w:val="single" w:sz="5" w:space="0" w:color="000000"/>
            </w:tcBorders>
          </w:tcPr>
          <w:p w14:paraId="483EC3C1" w14:textId="77777777" w:rsidR="00643F68" w:rsidRPr="00271157" w:rsidRDefault="00643F68" w:rsidP="00CE2B99">
            <w:pPr>
              <w:widowControl w:val="0"/>
              <w:spacing w:before="19"/>
              <w:ind w:left="272"/>
              <w:rPr>
                <w:rFonts w:asciiTheme="minorHAnsi" w:hAnsiTheme="minorHAnsi"/>
                <w:spacing w:val="-5"/>
                <w:szCs w:val="22"/>
              </w:rPr>
            </w:pPr>
            <w:r w:rsidRPr="00271157">
              <w:rPr>
                <w:rFonts w:asciiTheme="minorHAnsi" w:hAnsiTheme="minorHAnsi"/>
                <w:spacing w:val="-5"/>
                <w:szCs w:val="22"/>
              </w:rPr>
              <w:t>Claims</w:t>
            </w:r>
          </w:p>
        </w:tc>
        <w:tc>
          <w:tcPr>
            <w:tcW w:w="1274" w:type="dxa"/>
            <w:tcBorders>
              <w:top w:val="nil"/>
              <w:left w:val="single" w:sz="5" w:space="0" w:color="000000"/>
              <w:bottom w:val="nil"/>
              <w:right w:val="single" w:sz="5" w:space="0" w:color="000000"/>
            </w:tcBorders>
          </w:tcPr>
          <w:p w14:paraId="2AE8A366" w14:textId="77777777" w:rsidR="00643F68" w:rsidRPr="00271157" w:rsidRDefault="00643F68" w:rsidP="00CE2B99">
            <w:pPr>
              <w:widowControl w:val="0"/>
              <w:spacing w:before="19"/>
              <w:ind w:left="303"/>
              <w:rPr>
                <w:rFonts w:asciiTheme="minorHAnsi" w:hAnsiTheme="minorHAnsi"/>
                <w:spacing w:val="-5"/>
                <w:szCs w:val="22"/>
              </w:rPr>
            </w:pPr>
            <w:r w:rsidRPr="00271157">
              <w:rPr>
                <w:rFonts w:asciiTheme="minorHAnsi" w:hAnsiTheme="minorHAnsi"/>
                <w:spacing w:val="-5"/>
                <w:szCs w:val="22"/>
              </w:rPr>
              <w:t>Factor</w:t>
            </w:r>
          </w:p>
        </w:tc>
        <w:tc>
          <w:tcPr>
            <w:tcW w:w="1405" w:type="dxa"/>
            <w:tcBorders>
              <w:top w:val="nil"/>
              <w:left w:val="single" w:sz="5" w:space="0" w:color="000000"/>
              <w:bottom w:val="nil"/>
              <w:right w:val="single" w:sz="6" w:space="0" w:color="000000"/>
            </w:tcBorders>
          </w:tcPr>
          <w:p w14:paraId="39D14331" w14:textId="77777777" w:rsidR="00643F68" w:rsidRPr="00271157" w:rsidRDefault="00643F68" w:rsidP="00CE2B99">
            <w:pPr>
              <w:widowControl w:val="0"/>
              <w:spacing w:before="19"/>
              <w:ind w:left="363"/>
              <w:rPr>
                <w:rFonts w:asciiTheme="minorHAnsi" w:hAnsiTheme="minorHAnsi"/>
                <w:spacing w:val="-5"/>
                <w:szCs w:val="22"/>
              </w:rPr>
            </w:pPr>
            <w:r w:rsidRPr="00271157">
              <w:rPr>
                <w:rFonts w:asciiTheme="minorHAnsi" w:hAnsiTheme="minorHAnsi"/>
                <w:spacing w:val="-5"/>
                <w:szCs w:val="22"/>
              </w:rPr>
              <w:t>Factor</w:t>
            </w:r>
          </w:p>
        </w:tc>
        <w:tc>
          <w:tcPr>
            <w:tcW w:w="717" w:type="dxa"/>
            <w:tcBorders>
              <w:top w:val="nil"/>
              <w:left w:val="single" w:sz="6" w:space="0" w:color="000000"/>
              <w:bottom w:val="nil"/>
              <w:right w:val="single" w:sz="4" w:space="0" w:color="auto"/>
            </w:tcBorders>
          </w:tcPr>
          <w:p w14:paraId="2C0B7F0D" w14:textId="77777777" w:rsidR="00643F68" w:rsidRPr="00271157" w:rsidRDefault="00643F68" w:rsidP="00643F68">
            <w:pPr>
              <w:widowControl w:val="0"/>
              <w:spacing w:before="19"/>
              <w:ind w:left="246"/>
              <w:rPr>
                <w:rFonts w:asciiTheme="minorHAnsi" w:hAnsiTheme="minorHAnsi"/>
                <w:spacing w:val="-5"/>
                <w:szCs w:val="22"/>
              </w:rPr>
            </w:pPr>
          </w:p>
        </w:tc>
      </w:tr>
      <w:tr w:rsidR="00643F68" w:rsidRPr="00271157" w14:paraId="15583B6A" w14:textId="77777777" w:rsidTr="00643F68">
        <w:trPr>
          <w:trHeight w:val="1"/>
          <w:jc w:val="center"/>
        </w:trPr>
        <w:tc>
          <w:tcPr>
            <w:tcW w:w="1058" w:type="dxa"/>
            <w:tcBorders>
              <w:top w:val="nil"/>
              <w:left w:val="single" w:sz="5" w:space="0" w:color="000000"/>
              <w:bottom w:val="single" w:sz="4" w:space="0" w:color="auto"/>
              <w:right w:val="single" w:sz="5" w:space="0" w:color="000000"/>
            </w:tcBorders>
          </w:tcPr>
          <w:p w14:paraId="71EAF7A2" w14:textId="77777777" w:rsidR="00643F68" w:rsidRPr="00271157" w:rsidRDefault="00643F68" w:rsidP="00CE2B99">
            <w:pPr>
              <w:widowControl w:val="0"/>
              <w:spacing w:before="20"/>
              <w:jc w:val="center"/>
              <w:rPr>
                <w:rFonts w:asciiTheme="minorHAnsi" w:hAnsiTheme="minorHAnsi"/>
                <w:spacing w:val="-5"/>
                <w:szCs w:val="22"/>
              </w:rPr>
            </w:pPr>
            <w:r w:rsidRPr="00271157">
              <w:rPr>
                <w:rFonts w:asciiTheme="minorHAnsi" w:hAnsiTheme="minorHAnsi"/>
                <w:spacing w:val="-5"/>
                <w:szCs w:val="22"/>
              </w:rPr>
              <w:t>(1)</w:t>
            </w:r>
          </w:p>
        </w:tc>
        <w:tc>
          <w:tcPr>
            <w:tcW w:w="1405" w:type="dxa"/>
            <w:tcBorders>
              <w:top w:val="nil"/>
              <w:left w:val="single" w:sz="5" w:space="0" w:color="000000"/>
              <w:bottom w:val="single" w:sz="4" w:space="0" w:color="auto"/>
              <w:right w:val="single" w:sz="5" w:space="0" w:color="000000"/>
            </w:tcBorders>
          </w:tcPr>
          <w:p w14:paraId="5E2AECD9" w14:textId="77777777" w:rsidR="00643F68" w:rsidRPr="00271157" w:rsidRDefault="00643F68" w:rsidP="00CE2B99">
            <w:pPr>
              <w:widowControl w:val="0"/>
              <w:spacing w:before="20"/>
              <w:jc w:val="center"/>
              <w:rPr>
                <w:rFonts w:asciiTheme="minorHAnsi" w:hAnsiTheme="minorHAnsi"/>
                <w:spacing w:val="-5"/>
                <w:szCs w:val="22"/>
              </w:rPr>
            </w:pPr>
            <w:r w:rsidRPr="00271157">
              <w:rPr>
                <w:rFonts w:asciiTheme="minorHAnsi" w:hAnsiTheme="minorHAnsi"/>
                <w:spacing w:val="-5"/>
                <w:szCs w:val="22"/>
              </w:rPr>
              <w:t>(2)</w:t>
            </w:r>
          </w:p>
        </w:tc>
        <w:tc>
          <w:tcPr>
            <w:tcW w:w="1595" w:type="dxa"/>
            <w:tcBorders>
              <w:top w:val="nil"/>
              <w:left w:val="single" w:sz="5" w:space="0" w:color="000000"/>
              <w:bottom w:val="single" w:sz="4" w:space="0" w:color="auto"/>
              <w:right w:val="single" w:sz="5" w:space="0" w:color="000000"/>
            </w:tcBorders>
          </w:tcPr>
          <w:p w14:paraId="2FCD295C" w14:textId="77777777" w:rsidR="00643F68" w:rsidRPr="00271157" w:rsidRDefault="00643F68" w:rsidP="00CE2B99">
            <w:pPr>
              <w:widowControl w:val="0"/>
              <w:spacing w:before="20"/>
              <w:ind w:left="3"/>
              <w:jc w:val="center"/>
              <w:rPr>
                <w:rFonts w:asciiTheme="minorHAnsi" w:hAnsiTheme="minorHAnsi"/>
                <w:spacing w:val="-5"/>
                <w:szCs w:val="22"/>
              </w:rPr>
            </w:pPr>
            <w:r w:rsidRPr="00271157">
              <w:rPr>
                <w:rFonts w:asciiTheme="minorHAnsi" w:hAnsiTheme="minorHAnsi"/>
                <w:spacing w:val="-5"/>
                <w:szCs w:val="22"/>
              </w:rPr>
              <w:t>(3)</w:t>
            </w:r>
          </w:p>
        </w:tc>
        <w:tc>
          <w:tcPr>
            <w:tcW w:w="1340" w:type="dxa"/>
            <w:tcBorders>
              <w:top w:val="nil"/>
              <w:left w:val="single" w:sz="5" w:space="0" w:color="000000"/>
              <w:bottom w:val="single" w:sz="4" w:space="0" w:color="auto"/>
              <w:right w:val="single" w:sz="5" w:space="0" w:color="000000"/>
            </w:tcBorders>
          </w:tcPr>
          <w:p w14:paraId="6CB870CE" w14:textId="77777777" w:rsidR="00643F68" w:rsidRPr="00271157" w:rsidRDefault="00643F68" w:rsidP="00CE2B99">
            <w:pPr>
              <w:widowControl w:val="0"/>
              <w:spacing w:before="20"/>
              <w:ind w:left="1"/>
              <w:jc w:val="center"/>
              <w:rPr>
                <w:rFonts w:asciiTheme="minorHAnsi" w:hAnsiTheme="minorHAnsi"/>
                <w:spacing w:val="-5"/>
                <w:szCs w:val="22"/>
              </w:rPr>
            </w:pPr>
            <w:r w:rsidRPr="00271157">
              <w:rPr>
                <w:rFonts w:asciiTheme="minorHAnsi" w:hAnsiTheme="minorHAnsi"/>
                <w:spacing w:val="-5"/>
                <w:szCs w:val="22"/>
              </w:rPr>
              <w:t>(4)</w:t>
            </w:r>
          </w:p>
        </w:tc>
        <w:tc>
          <w:tcPr>
            <w:tcW w:w="1278" w:type="dxa"/>
            <w:tcBorders>
              <w:top w:val="nil"/>
              <w:left w:val="single" w:sz="5" w:space="0" w:color="000000"/>
              <w:bottom w:val="single" w:sz="4" w:space="0" w:color="auto"/>
              <w:right w:val="single" w:sz="5" w:space="0" w:color="000000"/>
            </w:tcBorders>
          </w:tcPr>
          <w:p w14:paraId="7ACC8C7D" w14:textId="77777777" w:rsidR="00643F68" w:rsidRPr="00271157" w:rsidRDefault="00643F68" w:rsidP="00CE2B99">
            <w:pPr>
              <w:widowControl w:val="0"/>
              <w:spacing w:before="20"/>
              <w:jc w:val="center"/>
              <w:rPr>
                <w:rFonts w:asciiTheme="minorHAnsi" w:hAnsiTheme="minorHAnsi"/>
                <w:spacing w:val="-5"/>
                <w:szCs w:val="22"/>
              </w:rPr>
            </w:pPr>
            <w:r w:rsidRPr="00271157">
              <w:rPr>
                <w:rFonts w:asciiTheme="minorHAnsi" w:hAnsiTheme="minorHAnsi"/>
                <w:spacing w:val="-5"/>
                <w:szCs w:val="22"/>
              </w:rPr>
              <w:t>(5)</w:t>
            </w:r>
          </w:p>
        </w:tc>
        <w:tc>
          <w:tcPr>
            <w:tcW w:w="1274" w:type="dxa"/>
            <w:tcBorders>
              <w:top w:val="nil"/>
              <w:left w:val="single" w:sz="5" w:space="0" w:color="000000"/>
              <w:bottom w:val="single" w:sz="4" w:space="0" w:color="auto"/>
              <w:right w:val="single" w:sz="5" w:space="0" w:color="000000"/>
            </w:tcBorders>
          </w:tcPr>
          <w:p w14:paraId="143688C8" w14:textId="77777777" w:rsidR="00643F68" w:rsidRPr="00271157" w:rsidRDefault="00643F68" w:rsidP="00CE2B99">
            <w:pPr>
              <w:widowControl w:val="0"/>
              <w:spacing w:before="20"/>
              <w:ind w:left="1"/>
              <w:jc w:val="center"/>
              <w:rPr>
                <w:rFonts w:asciiTheme="minorHAnsi" w:hAnsiTheme="minorHAnsi"/>
                <w:spacing w:val="-5"/>
                <w:szCs w:val="22"/>
              </w:rPr>
            </w:pPr>
            <w:r w:rsidRPr="00271157">
              <w:rPr>
                <w:rFonts w:asciiTheme="minorHAnsi" w:hAnsiTheme="minorHAnsi"/>
                <w:spacing w:val="-5"/>
                <w:szCs w:val="22"/>
              </w:rPr>
              <w:t>(6)</w:t>
            </w:r>
          </w:p>
        </w:tc>
        <w:tc>
          <w:tcPr>
            <w:tcW w:w="1405" w:type="dxa"/>
            <w:tcBorders>
              <w:top w:val="nil"/>
              <w:left w:val="single" w:sz="5" w:space="0" w:color="000000"/>
              <w:bottom w:val="single" w:sz="4" w:space="0" w:color="auto"/>
              <w:right w:val="single" w:sz="6" w:space="0" w:color="000000"/>
            </w:tcBorders>
          </w:tcPr>
          <w:p w14:paraId="0B2A0D64" w14:textId="77777777" w:rsidR="00643F68" w:rsidRPr="00271157" w:rsidRDefault="00643F68" w:rsidP="00CE2B99">
            <w:pPr>
              <w:widowControl w:val="0"/>
              <w:spacing w:before="20"/>
              <w:jc w:val="center"/>
              <w:rPr>
                <w:rFonts w:asciiTheme="minorHAnsi" w:hAnsiTheme="minorHAnsi"/>
                <w:spacing w:val="-5"/>
                <w:szCs w:val="22"/>
              </w:rPr>
            </w:pPr>
            <w:r w:rsidRPr="00271157">
              <w:rPr>
                <w:rFonts w:asciiTheme="minorHAnsi" w:hAnsiTheme="minorHAnsi"/>
                <w:spacing w:val="-5"/>
                <w:szCs w:val="22"/>
              </w:rPr>
              <w:t>(7)</w:t>
            </w:r>
          </w:p>
        </w:tc>
        <w:tc>
          <w:tcPr>
            <w:tcW w:w="717" w:type="dxa"/>
            <w:tcBorders>
              <w:top w:val="nil"/>
              <w:left w:val="single" w:sz="6" w:space="0" w:color="000000"/>
              <w:bottom w:val="single" w:sz="4" w:space="0" w:color="auto"/>
              <w:right w:val="single" w:sz="4" w:space="0" w:color="auto"/>
            </w:tcBorders>
          </w:tcPr>
          <w:p w14:paraId="675079A9" w14:textId="77777777" w:rsidR="00643F68" w:rsidRPr="00271157" w:rsidRDefault="00643F68" w:rsidP="00643F68">
            <w:pPr>
              <w:widowControl w:val="0"/>
              <w:tabs>
                <w:tab w:val="center" w:pos="917"/>
              </w:tabs>
              <w:spacing w:before="20"/>
              <w:jc w:val="center"/>
              <w:rPr>
                <w:rFonts w:asciiTheme="minorHAnsi" w:hAnsiTheme="minorHAnsi"/>
                <w:spacing w:val="-5"/>
                <w:szCs w:val="22"/>
              </w:rPr>
            </w:pPr>
            <w:r w:rsidRPr="00271157">
              <w:rPr>
                <w:rFonts w:asciiTheme="minorHAnsi" w:hAnsiTheme="minorHAnsi"/>
                <w:spacing w:val="-5"/>
                <w:szCs w:val="22"/>
              </w:rPr>
              <w:t>(8)</w:t>
            </w:r>
          </w:p>
        </w:tc>
      </w:tr>
      <w:tr w:rsidR="00643F68" w:rsidRPr="00271157" w14:paraId="7B9FCBDD" w14:textId="77777777" w:rsidTr="00643F68">
        <w:trPr>
          <w:trHeight w:val="1"/>
          <w:jc w:val="center"/>
        </w:trPr>
        <w:tc>
          <w:tcPr>
            <w:tcW w:w="1058" w:type="dxa"/>
            <w:tcBorders>
              <w:top w:val="single" w:sz="4" w:space="0" w:color="auto"/>
              <w:left w:val="single" w:sz="4" w:space="0" w:color="auto"/>
              <w:bottom w:val="single" w:sz="4" w:space="0" w:color="auto"/>
              <w:right w:val="single" w:sz="4" w:space="0" w:color="auto"/>
            </w:tcBorders>
          </w:tcPr>
          <w:p w14:paraId="74EBFE03" w14:textId="77777777" w:rsidR="00643F68" w:rsidRPr="00271157" w:rsidRDefault="00643F68" w:rsidP="00CE2B99">
            <w:pPr>
              <w:widowControl w:val="0"/>
              <w:spacing w:before="55"/>
              <w:ind w:left="102"/>
              <w:rPr>
                <w:rFonts w:asciiTheme="minorHAnsi" w:hAnsiTheme="minorHAnsi"/>
                <w:spacing w:val="-5"/>
                <w:szCs w:val="22"/>
              </w:rPr>
            </w:pPr>
            <w:r w:rsidRPr="00271157">
              <w:rPr>
                <w:rFonts w:asciiTheme="minorHAnsi" w:hAnsiTheme="minorHAnsi"/>
                <w:spacing w:val="-5"/>
                <w:szCs w:val="22"/>
              </w:rPr>
              <w:t>xxxxxx</w:t>
            </w:r>
          </w:p>
        </w:tc>
        <w:tc>
          <w:tcPr>
            <w:tcW w:w="1405" w:type="dxa"/>
            <w:tcBorders>
              <w:top w:val="single" w:sz="4" w:space="0" w:color="auto"/>
              <w:left w:val="single" w:sz="4" w:space="0" w:color="auto"/>
              <w:bottom w:val="single" w:sz="4" w:space="0" w:color="auto"/>
              <w:right w:val="single" w:sz="4" w:space="0" w:color="auto"/>
            </w:tcBorders>
          </w:tcPr>
          <w:p w14:paraId="1C7CB540" w14:textId="77777777" w:rsidR="00643F68" w:rsidRPr="00271157" w:rsidRDefault="00643F68" w:rsidP="00CE2B99">
            <w:pPr>
              <w:widowControl w:val="0"/>
              <w:rPr>
                <w:rFonts w:asciiTheme="minorHAnsi" w:hAnsiTheme="minorHAnsi"/>
                <w:spacing w:val="-5"/>
                <w:szCs w:val="22"/>
              </w:rPr>
            </w:pPr>
          </w:p>
        </w:tc>
        <w:tc>
          <w:tcPr>
            <w:tcW w:w="1595" w:type="dxa"/>
            <w:tcBorders>
              <w:top w:val="single" w:sz="4" w:space="0" w:color="auto"/>
              <w:left w:val="single" w:sz="4" w:space="0" w:color="auto"/>
              <w:bottom w:val="single" w:sz="4" w:space="0" w:color="auto"/>
              <w:right w:val="single" w:sz="4" w:space="0" w:color="auto"/>
            </w:tcBorders>
          </w:tcPr>
          <w:p w14:paraId="77420AF9" w14:textId="77777777" w:rsidR="00643F68" w:rsidRPr="00271157" w:rsidRDefault="00643F68" w:rsidP="00CE2B99">
            <w:pPr>
              <w:widowControl w:val="0"/>
              <w:rPr>
                <w:rFonts w:asciiTheme="minorHAnsi" w:hAnsiTheme="minorHAnsi"/>
                <w:spacing w:val="-5"/>
                <w:szCs w:val="22"/>
              </w:rPr>
            </w:pPr>
          </w:p>
        </w:tc>
        <w:tc>
          <w:tcPr>
            <w:tcW w:w="1340" w:type="dxa"/>
            <w:tcBorders>
              <w:top w:val="single" w:sz="4" w:space="0" w:color="auto"/>
              <w:left w:val="single" w:sz="4" w:space="0" w:color="auto"/>
              <w:bottom w:val="single" w:sz="4" w:space="0" w:color="auto"/>
              <w:right w:val="single" w:sz="4" w:space="0" w:color="auto"/>
            </w:tcBorders>
          </w:tcPr>
          <w:p w14:paraId="3BABF189" w14:textId="77777777" w:rsidR="00643F68" w:rsidRPr="00271157" w:rsidRDefault="00643F68" w:rsidP="00CE2B99">
            <w:pPr>
              <w:widowControl w:val="0"/>
              <w:rPr>
                <w:rFonts w:asciiTheme="minorHAnsi" w:hAnsiTheme="minorHAnsi"/>
                <w:spacing w:val="-5"/>
                <w:szCs w:val="22"/>
              </w:rPr>
            </w:pPr>
          </w:p>
        </w:tc>
        <w:tc>
          <w:tcPr>
            <w:tcW w:w="1278" w:type="dxa"/>
            <w:tcBorders>
              <w:top w:val="single" w:sz="4" w:space="0" w:color="auto"/>
              <w:left w:val="single" w:sz="4" w:space="0" w:color="auto"/>
              <w:bottom w:val="single" w:sz="4" w:space="0" w:color="auto"/>
              <w:right w:val="single" w:sz="4" w:space="0" w:color="auto"/>
            </w:tcBorders>
          </w:tcPr>
          <w:p w14:paraId="4E5DF101" w14:textId="77777777" w:rsidR="00643F68" w:rsidRPr="00271157" w:rsidRDefault="00643F68" w:rsidP="00CE2B99">
            <w:pPr>
              <w:widowControl w:val="0"/>
              <w:rPr>
                <w:rFonts w:asciiTheme="minorHAnsi" w:hAnsiTheme="minorHAnsi"/>
                <w:spacing w:val="-5"/>
                <w:szCs w:val="22"/>
              </w:rPr>
            </w:pPr>
          </w:p>
        </w:tc>
        <w:tc>
          <w:tcPr>
            <w:tcW w:w="1274" w:type="dxa"/>
            <w:tcBorders>
              <w:top w:val="single" w:sz="4" w:space="0" w:color="auto"/>
              <w:left w:val="single" w:sz="4" w:space="0" w:color="auto"/>
              <w:bottom w:val="single" w:sz="4" w:space="0" w:color="auto"/>
              <w:right w:val="single" w:sz="4" w:space="0" w:color="auto"/>
            </w:tcBorders>
          </w:tcPr>
          <w:p w14:paraId="04F3A436" w14:textId="77777777" w:rsidR="00643F68" w:rsidRPr="00271157" w:rsidRDefault="00643F68" w:rsidP="00CE2B99">
            <w:pPr>
              <w:widowControl w:val="0"/>
              <w:rPr>
                <w:rFonts w:asciiTheme="minorHAnsi" w:hAnsiTheme="minorHAnsi"/>
                <w:spacing w:val="-5"/>
                <w:szCs w:val="22"/>
              </w:rPr>
            </w:pPr>
          </w:p>
        </w:tc>
        <w:tc>
          <w:tcPr>
            <w:tcW w:w="1405" w:type="dxa"/>
            <w:tcBorders>
              <w:top w:val="single" w:sz="4" w:space="0" w:color="auto"/>
              <w:left w:val="single" w:sz="4" w:space="0" w:color="auto"/>
              <w:bottom w:val="single" w:sz="4" w:space="0" w:color="auto"/>
              <w:right w:val="single" w:sz="4" w:space="0" w:color="auto"/>
            </w:tcBorders>
          </w:tcPr>
          <w:p w14:paraId="11EF4DDD" w14:textId="77777777" w:rsidR="00643F68" w:rsidRPr="00271157" w:rsidRDefault="00643F68" w:rsidP="00CE2B99">
            <w:pPr>
              <w:widowControl w:val="0"/>
              <w:rPr>
                <w:rFonts w:asciiTheme="minorHAnsi" w:hAnsiTheme="minorHAnsi"/>
                <w:spacing w:val="-5"/>
                <w:szCs w:val="22"/>
              </w:rPr>
            </w:pPr>
          </w:p>
        </w:tc>
        <w:tc>
          <w:tcPr>
            <w:tcW w:w="717" w:type="dxa"/>
            <w:tcBorders>
              <w:top w:val="single" w:sz="4" w:space="0" w:color="auto"/>
              <w:left w:val="single" w:sz="4" w:space="0" w:color="auto"/>
              <w:bottom w:val="single" w:sz="4" w:space="0" w:color="auto"/>
              <w:right w:val="single" w:sz="4" w:space="0" w:color="auto"/>
            </w:tcBorders>
          </w:tcPr>
          <w:p w14:paraId="248ACB23" w14:textId="77777777" w:rsidR="00643F68" w:rsidRPr="00271157" w:rsidRDefault="00643F68" w:rsidP="00CE2B99">
            <w:pPr>
              <w:widowControl w:val="0"/>
              <w:rPr>
                <w:rFonts w:asciiTheme="minorHAnsi" w:hAnsiTheme="minorHAnsi"/>
                <w:spacing w:val="-5"/>
                <w:szCs w:val="22"/>
              </w:rPr>
            </w:pPr>
          </w:p>
        </w:tc>
      </w:tr>
      <w:tr w:rsidR="00643F68" w:rsidRPr="00271157" w14:paraId="41907C10" w14:textId="77777777" w:rsidTr="00643F68">
        <w:trPr>
          <w:trHeight w:val="1"/>
          <w:jc w:val="center"/>
        </w:trPr>
        <w:tc>
          <w:tcPr>
            <w:tcW w:w="1058" w:type="dxa"/>
            <w:tcBorders>
              <w:top w:val="single" w:sz="4" w:space="0" w:color="auto"/>
              <w:left w:val="single" w:sz="4" w:space="0" w:color="auto"/>
              <w:bottom w:val="single" w:sz="4" w:space="0" w:color="auto"/>
              <w:right w:val="single" w:sz="4" w:space="0" w:color="auto"/>
            </w:tcBorders>
          </w:tcPr>
          <w:p w14:paraId="3C5CC86F" w14:textId="77777777" w:rsidR="00643F68" w:rsidRPr="00271157" w:rsidRDefault="00643F68" w:rsidP="00CE2B99">
            <w:pPr>
              <w:widowControl w:val="0"/>
              <w:spacing w:before="20"/>
              <w:ind w:left="102"/>
              <w:rPr>
                <w:rFonts w:asciiTheme="minorHAnsi" w:hAnsiTheme="minorHAnsi"/>
                <w:spacing w:val="-5"/>
                <w:szCs w:val="22"/>
              </w:rPr>
            </w:pPr>
            <w:r w:rsidRPr="00271157">
              <w:rPr>
                <w:rFonts w:asciiTheme="minorHAnsi" w:hAnsiTheme="minorHAnsi"/>
                <w:spacing w:val="-5"/>
                <w:szCs w:val="22"/>
              </w:rPr>
              <w:t>xxxxxx</w:t>
            </w:r>
          </w:p>
        </w:tc>
        <w:tc>
          <w:tcPr>
            <w:tcW w:w="1405" w:type="dxa"/>
            <w:tcBorders>
              <w:top w:val="single" w:sz="4" w:space="0" w:color="auto"/>
              <w:left w:val="single" w:sz="4" w:space="0" w:color="auto"/>
              <w:bottom w:val="single" w:sz="4" w:space="0" w:color="auto"/>
              <w:right w:val="single" w:sz="4" w:space="0" w:color="auto"/>
            </w:tcBorders>
          </w:tcPr>
          <w:p w14:paraId="4E821A92" w14:textId="77777777" w:rsidR="00643F68" w:rsidRPr="00271157" w:rsidRDefault="00643F68" w:rsidP="00CE2B99">
            <w:pPr>
              <w:widowControl w:val="0"/>
              <w:rPr>
                <w:rFonts w:asciiTheme="minorHAnsi" w:hAnsiTheme="minorHAnsi"/>
                <w:spacing w:val="-5"/>
                <w:szCs w:val="22"/>
              </w:rPr>
            </w:pPr>
          </w:p>
        </w:tc>
        <w:tc>
          <w:tcPr>
            <w:tcW w:w="1595" w:type="dxa"/>
            <w:tcBorders>
              <w:top w:val="single" w:sz="4" w:space="0" w:color="auto"/>
              <w:left w:val="single" w:sz="4" w:space="0" w:color="auto"/>
              <w:bottom w:val="single" w:sz="4" w:space="0" w:color="auto"/>
              <w:right w:val="single" w:sz="4" w:space="0" w:color="auto"/>
            </w:tcBorders>
          </w:tcPr>
          <w:p w14:paraId="7042417B" w14:textId="77777777" w:rsidR="00643F68" w:rsidRPr="00271157" w:rsidRDefault="00643F68" w:rsidP="00CE2B99">
            <w:pPr>
              <w:widowControl w:val="0"/>
              <w:rPr>
                <w:rFonts w:asciiTheme="minorHAnsi" w:hAnsiTheme="minorHAnsi"/>
                <w:spacing w:val="-5"/>
                <w:szCs w:val="22"/>
              </w:rPr>
            </w:pPr>
          </w:p>
        </w:tc>
        <w:tc>
          <w:tcPr>
            <w:tcW w:w="1340" w:type="dxa"/>
            <w:tcBorders>
              <w:top w:val="single" w:sz="4" w:space="0" w:color="auto"/>
              <w:left w:val="single" w:sz="4" w:space="0" w:color="auto"/>
              <w:bottom w:val="single" w:sz="4" w:space="0" w:color="auto"/>
              <w:right w:val="single" w:sz="4" w:space="0" w:color="auto"/>
            </w:tcBorders>
          </w:tcPr>
          <w:p w14:paraId="38D701D9" w14:textId="77777777" w:rsidR="00643F68" w:rsidRPr="00271157" w:rsidRDefault="00643F68" w:rsidP="00CE2B99">
            <w:pPr>
              <w:widowControl w:val="0"/>
              <w:rPr>
                <w:rFonts w:asciiTheme="minorHAnsi" w:hAnsiTheme="minorHAnsi"/>
                <w:spacing w:val="-5"/>
                <w:szCs w:val="22"/>
              </w:rPr>
            </w:pPr>
          </w:p>
        </w:tc>
        <w:tc>
          <w:tcPr>
            <w:tcW w:w="1278" w:type="dxa"/>
            <w:tcBorders>
              <w:top w:val="single" w:sz="4" w:space="0" w:color="auto"/>
              <w:left w:val="single" w:sz="4" w:space="0" w:color="auto"/>
              <w:bottom w:val="single" w:sz="4" w:space="0" w:color="auto"/>
              <w:right w:val="single" w:sz="4" w:space="0" w:color="auto"/>
            </w:tcBorders>
          </w:tcPr>
          <w:p w14:paraId="2B6EA68B" w14:textId="77777777" w:rsidR="00643F68" w:rsidRPr="00271157" w:rsidRDefault="00643F68" w:rsidP="00CE2B99">
            <w:pPr>
              <w:widowControl w:val="0"/>
              <w:rPr>
                <w:rFonts w:asciiTheme="minorHAnsi" w:hAnsiTheme="minorHAnsi"/>
                <w:spacing w:val="-5"/>
                <w:szCs w:val="22"/>
              </w:rPr>
            </w:pPr>
          </w:p>
        </w:tc>
        <w:tc>
          <w:tcPr>
            <w:tcW w:w="1274" w:type="dxa"/>
            <w:tcBorders>
              <w:top w:val="single" w:sz="4" w:space="0" w:color="auto"/>
              <w:left w:val="single" w:sz="4" w:space="0" w:color="auto"/>
              <w:bottom w:val="single" w:sz="4" w:space="0" w:color="auto"/>
              <w:right w:val="single" w:sz="4" w:space="0" w:color="auto"/>
            </w:tcBorders>
          </w:tcPr>
          <w:p w14:paraId="4EF7EBA0" w14:textId="77777777" w:rsidR="00643F68" w:rsidRPr="00271157" w:rsidRDefault="00643F68" w:rsidP="00CE2B99">
            <w:pPr>
              <w:widowControl w:val="0"/>
              <w:rPr>
                <w:rFonts w:asciiTheme="minorHAnsi" w:hAnsiTheme="minorHAnsi"/>
                <w:spacing w:val="-5"/>
                <w:szCs w:val="22"/>
              </w:rPr>
            </w:pPr>
          </w:p>
        </w:tc>
        <w:tc>
          <w:tcPr>
            <w:tcW w:w="1405" w:type="dxa"/>
            <w:tcBorders>
              <w:top w:val="single" w:sz="4" w:space="0" w:color="auto"/>
              <w:left w:val="single" w:sz="4" w:space="0" w:color="auto"/>
              <w:bottom w:val="single" w:sz="4" w:space="0" w:color="auto"/>
              <w:right w:val="single" w:sz="4" w:space="0" w:color="auto"/>
            </w:tcBorders>
          </w:tcPr>
          <w:p w14:paraId="18173DC2" w14:textId="77777777" w:rsidR="00643F68" w:rsidRPr="00271157" w:rsidRDefault="00643F68" w:rsidP="00CE2B99">
            <w:pPr>
              <w:widowControl w:val="0"/>
              <w:rPr>
                <w:rFonts w:asciiTheme="minorHAnsi" w:hAnsiTheme="minorHAnsi"/>
                <w:spacing w:val="-5"/>
                <w:szCs w:val="22"/>
              </w:rPr>
            </w:pPr>
          </w:p>
        </w:tc>
        <w:tc>
          <w:tcPr>
            <w:tcW w:w="717" w:type="dxa"/>
            <w:tcBorders>
              <w:top w:val="single" w:sz="4" w:space="0" w:color="auto"/>
              <w:left w:val="single" w:sz="4" w:space="0" w:color="auto"/>
              <w:bottom w:val="single" w:sz="4" w:space="0" w:color="auto"/>
              <w:right w:val="single" w:sz="4" w:space="0" w:color="auto"/>
            </w:tcBorders>
          </w:tcPr>
          <w:p w14:paraId="4EA8ECC7" w14:textId="77777777" w:rsidR="00643F68" w:rsidRPr="00271157" w:rsidRDefault="00643F68" w:rsidP="00CE2B99">
            <w:pPr>
              <w:widowControl w:val="0"/>
              <w:rPr>
                <w:rFonts w:asciiTheme="minorHAnsi" w:hAnsiTheme="minorHAnsi"/>
                <w:spacing w:val="-5"/>
                <w:szCs w:val="22"/>
              </w:rPr>
            </w:pPr>
          </w:p>
        </w:tc>
      </w:tr>
      <w:tr w:rsidR="00643F68" w:rsidRPr="00271157" w14:paraId="56D3937A" w14:textId="77777777" w:rsidTr="00643F68">
        <w:trPr>
          <w:trHeight w:val="1"/>
          <w:jc w:val="center"/>
        </w:trPr>
        <w:tc>
          <w:tcPr>
            <w:tcW w:w="1058" w:type="dxa"/>
            <w:tcBorders>
              <w:top w:val="single" w:sz="4" w:space="0" w:color="auto"/>
              <w:left w:val="single" w:sz="4" w:space="0" w:color="auto"/>
              <w:bottom w:val="single" w:sz="4" w:space="0" w:color="auto"/>
              <w:right w:val="single" w:sz="4" w:space="0" w:color="auto"/>
            </w:tcBorders>
          </w:tcPr>
          <w:p w14:paraId="5EF44F9F" w14:textId="77777777" w:rsidR="00643F68" w:rsidRPr="00271157" w:rsidRDefault="00643F68" w:rsidP="00CE2B99">
            <w:pPr>
              <w:widowControl w:val="0"/>
              <w:spacing w:before="19"/>
              <w:ind w:left="267"/>
              <w:rPr>
                <w:rFonts w:asciiTheme="minorHAnsi" w:hAnsiTheme="minorHAnsi"/>
                <w:spacing w:val="-5"/>
                <w:szCs w:val="22"/>
              </w:rPr>
            </w:pPr>
            <w:r w:rsidRPr="00271157">
              <w:rPr>
                <w:rFonts w:asciiTheme="minorHAnsi" w:hAnsiTheme="minorHAnsi"/>
                <w:spacing w:val="-5"/>
                <w:szCs w:val="22"/>
              </w:rPr>
              <w:t>Total</w:t>
            </w:r>
          </w:p>
        </w:tc>
        <w:tc>
          <w:tcPr>
            <w:tcW w:w="1405" w:type="dxa"/>
            <w:tcBorders>
              <w:top w:val="single" w:sz="4" w:space="0" w:color="auto"/>
              <w:left w:val="single" w:sz="4" w:space="0" w:color="auto"/>
              <w:bottom w:val="single" w:sz="4" w:space="0" w:color="auto"/>
              <w:right w:val="single" w:sz="4" w:space="0" w:color="auto"/>
            </w:tcBorders>
          </w:tcPr>
          <w:p w14:paraId="5D9F707C" w14:textId="77777777" w:rsidR="00643F68" w:rsidRPr="00271157" w:rsidRDefault="00643F68" w:rsidP="00CE2B99">
            <w:pPr>
              <w:widowControl w:val="0"/>
              <w:rPr>
                <w:rFonts w:asciiTheme="minorHAnsi" w:hAnsiTheme="minorHAnsi"/>
                <w:spacing w:val="-5"/>
                <w:szCs w:val="22"/>
              </w:rPr>
            </w:pPr>
          </w:p>
        </w:tc>
        <w:tc>
          <w:tcPr>
            <w:tcW w:w="1595" w:type="dxa"/>
            <w:tcBorders>
              <w:top w:val="single" w:sz="4" w:space="0" w:color="auto"/>
              <w:left w:val="single" w:sz="4" w:space="0" w:color="auto"/>
              <w:bottom w:val="single" w:sz="4" w:space="0" w:color="auto"/>
              <w:right w:val="single" w:sz="4" w:space="0" w:color="auto"/>
            </w:tcBorders>
          </w:tcPr>
          <w:p w14:paraId="48AB2A33" w14:textId="77777777" w:rsidR="00643F68" w:rsidRPr="00271157" w:rsidRDefault="00643F68" w:rsidP="00CE2B99">
            <w:pPr>
              <w:widowControl w:val="0"/>
              <w:rPr>
                <w:rFonts w:asciiTheme="minorHAnsi" w:hAnsiTheme="minorHAnsi"/>
                <w:spacing w:val="-5"/>
                <w:szCs w:val="22"/>
              </w:rPr>
            </w:pPr>
          </w:p>
        </w:tc>
        <w:tc>
          <w:tcPr>
            <w:tcW w:w="1340" w:type="dxa"/>
            <w:tcBorders>
              <w:top w:val="single" w:sz="4" w:space="0" w:color="auto"/>
              <w:left w:val="single" w:sz="4" w:space="0" w:color="auto"/>
              <w:bottom w:val="single" w:sz="4" w:space="0" w:color="auto"/>
              <w:right w:val="single" w:sz="4" w:space="0" w:color="auto"/>
            </w:tcBorders>
          </w:tcPr>
          <w:p w14:paraId="697EC89B" w14:textId="77777777" w:rsidR="00643F68" w:rsidRPr="00271157" w:rsidRDefault="00643F68" w:rsidP="00CE2B99">
            <w:pPr>
              <w:widowControl w:val="0"/>
              <w:rPr>
                <w:rFonts w:asciiTheme="minorHAnsi" w:hAnsiTheme="minorHAnsi"/>
                <w:spacing w:val="-5"/>
                <w:szCs w:val="22"/>
              </w:rPr>
            </w:pPr>
          </w:p>
        </w:tc>
        <w:tc>
          <w:tcPr>
            <w:tcW w:w="1278" w:type="dxa"/>
            <w:tcBorders>
              <w:top w:val="single" w:sz="4" w:space="0" w:color="auto"/>
              <w:left w:val="single" w:sz="4" w:space="0" w:color="auto"/>
              <w:bottom w:val="single" w:sz="4" w:space="0" w:color="auto"/>
              <w:right w:val="single" w:sz="4" w:space="0" w:color="auto"/>
            </w:tcBorders>
          </w:tcPr>
          <w:p w14:paraId="3FE2D998" w14:textId="77777777" w:rsidR="00643F68" w:rsidRPr="00271157" w:rsidRDefault="00643F68" w:rsidP="00CE2B99">
            <w:pPr>
              <w:widowControl w:val="0"/>
              <w:rPr>
                <w:rFonts w:asciiTheme="minorHAnsi" w:hAnsiTheme="minorHAnsi"/>
                <w:spacing w:val="-5"/>
                <w:szCs w:val="22"/>
              </w:rPr>
            </w:pPr>
          </w:p>
        </w:tc>
        <w:tc>
          <w:tcPr>
            <w:tcW w:w="1274" w:type="dxa"/>
            <w:tcBorders>
              <w:top w:val="single" w:sz="4" w:space="0" w:color="auto"/>
              <w:left w:val="single" w:sz="4" w:space="0" w:color="auto"/>
              <w:bottom w:val="single" w:sz="4" w:space="0" w:color="auto"/>
              <w:right w:val="single" w:sz="4" w:space="0" w:color="auto"/>
            </w:tcBorders>
          </w:tcPr>
          <w:p w14:paraId="7CC27CA6" w14:textId="77777777" w:rsidR="00643F68" w:rsidRPr="00271157" w:rsidRDefault="00643F68" w:rsidP="00CE2B99">
            <w:pPr>
              <w:widowControl w:val="0"/>
              <w:rPr>
                <w:rFonts w:asciiTheme="minorHAnsi" w:hAnsiTheme="minorHAnsi"/>
                <w:spacing w:val="-5"/>
                <w:szCs w:val="22"/>
              </w:rPr>
            </w:pPr>
          </w:p>
        </w:tc>
        <w:tc>
          <w:tcPr>
            <w:tcW w:w="1405" w:type="dxa"/>
            <w:tcBorders>
              <w:top w:val="single" w:sz="4" w:space="0" w:color="auto"/>
              <w:left w:val="single" w:sz="4" w:space="0" w:color="auto"/>
              <w:bottom w:val="single" w:sz="4" w:space="0" w:color="auto"/>
              <w:right w:val="single" w:sz="4" w:space="0" w:color="auto"/>
            </w:tcBorders>
          </w:tcPr>
          <w:p w14:paraId="4C34E3BD" w14:textId="77777777" w:rsidR="00643F68" w:rsidRPr="00271157" w:rsidRDefault="00643F68" w:rsidP="00CE2B99">
            <w:pPr>
              <w:widowControl w:val="0"/>
              <w:rPr>
                <w:rFonts w:asciiTheme="minorHAnsi" w:hAnsiTheme="minorHAnsi"/>
                <w:spacing w:val="-5"/>
                <w:szCs w:val="22"/>
              </w:rPr>
            </w:pPr>
          </w:p>
        </w:tc>
        <w:tc>
          <w:tcPr>
            <w:tcW w:w="717" w:type="dxa"/>
            <w:tcBorders>
              <w:top w:val="single" w:sz="4" w:space="0" w:color="auto"/>
              <w:left w:val="single" w:sz="4" w:space="0" w:color="auto"/>
              <w:bottom w:val="single" w:sz="4" w:space="0" w:color="auto"/>
              <w:right w:val="single" w:sz="4" w:space="0" w:color="auto"/>
            </w:tcBorders>
          </w:tcPr>
          <w:p w14:paraId="2411B82E" w14:textId="77777777" w:rsidR="00643F68" w:rsidRPr="00271157" w:rsidRDefault="00643F68" w:rsidP="00CE2B99">
            <w:pPr>
              <w:widowControl w:val="0"/>
              <w:rPr>
                <w:rFonts w:asciiTheme="minorHAnsi" w:hAnsiTheme="minorHAnsi"/>
                <w:spacing w:val="-5"/>
                <w:szCs w:val="22"/>
              </w:rPr>
            </w:pPr>
          </w:p>
        </w:tc>
      </w:tr>
    </w:tbl>
    <w:p w14:paraId="0DCD9633" w14:textId="77777777" w:rsidR="00643F68" w:rsidRPr="00271157" w:rsidRDefault="00643F68" w:rsidP="00643F68">
      <w:pPr>
        <w:spacing w:before="9"/>
        <w:rPr>
          <w:rFonts w:asciiTheme="minorHAnsi" w:hAnsiTheme="minorHAnsi"/>
          <w:spacing w:val="-5"/>
          <w:szCs w:val="22"/>
        </w:rPr>
      </w:pPr>
    </w:p>
    <w:p w14:paraId="2307E511" w14:textId="77777777" w:rsidR="00643F68" w:rsidRPr="00271157" w:rsidRDefault="00643F68" w:rsidP="00A63B50">
      <w:pPr>
        <w:pStyle w:val="BodyText"/>
        <w:widowControl w:val="0"/>
        <w:numPr>
          <w:ilvl w:val="1"/>
          <w:numId w:val="19"/>
        </w:numPr>
        <w:tabs>
          <w:tab w:val="clear" w:pos="576"/>
          <w:tab w:val="clear" w:pos="2016"/>
          <w:tab w:val="clear" w:pos="3456"/>
          <w:tab w:val="clear" w:pos="4896"/>
          <w:tab w:val="left" w:pos="1192"/>
        </w:tabs>
        <w:suppressAutoHyphens w:val="0"/>
        <w:ind w:right="434"/>
        <w:rPr>
          <w:rFonts w:asciiTheme="minorHAnsi" w:hAnsiTheme="minorHAnsi"/>
          <w:szCs w:val="22"/>
        </w:rPr>
      </w:pPr>
      <w:r w:rsidRPr="00271157">
        <w:rPr>
          <w:rFonts w:asciiTheme="minorHAnsi" w:hAnsiTheme="minorHAnsi"/>
          <w:szCs w:val="22"/>
        </w:rPr>
        <w:t>Please confirm that the ratio in column (8) represents the induced utilization for each plan.</w:t>
      </w:r>
    </w:p>
    <w:p w14:paraId="00EB7C0B" w14:textId="77777777" w:rsidR="00643F68" w:rsidRPr="00271157" w:rsidRDefault="00643F68" w:rsidP="00A63B50">
      <w:pPr>
        <w:pStyle w:val="BodyText"/>
        <w:widowControl w:val="0"/>
        <w:numPr>
          <w:ilvl w:val="1"/>
          <w:numId w:val="19"/>
        </w:numPr>
        <w:tabs>
          <w:tab w:val="clear" w:pos="576"/>
          <w:tab w:val="clear" w:pos="2016"/>
          <w:tab w:val="clear" w:pos="3456"/>
          <w:tab w:val="clear" w:pos="4896"/>
          <w:tab w:val="left" w:pos="1192"/>
        </w:tabs>
        <w:suppressAutoHyphens w:val="0"/>
        <w:ind w:right="434"/>
        <w:rPr>
          <w:rFonts w:asciiTheme="minorHAnsi" w:hAnsiTheme="minorHAnsi"/>
          <w:szCs w:val="22"/>
        </w:rPr>
      </w:pPr>
      <w:r w:rsidRPr="00271157">
        <w:rPr>
          <w:rFonts w:asciiTheme="minorHAnsi" w:hAnsiTheme="minorHAnsi"/>
          <w:szCs w:val="22"/>
        </w:rPr>
        <w:t>Please show quantitatively, including an Excel spreadsheet with formulas, the derivation of the AV and cost sharing factors for each plan.</w:t>
      </w:r>
    </w:p>
    <w:p w14:paraId="650274AE" w14:textId="77777777" w:rsidR="00643F68" w:rsidRPr="00271157" w:rsidRDefault="00643F68" w:rsidP="00A63B50">
      <w:pPr>
        <w:pStyle w:val="BodyText"/>
        <w:widowControl w:val="0"/>
        <w:numPr>
          <w:ilvl w:val="1"/>
          <w:numId w:val="19"/>
        </w:numPr>
        <w:tabs>
          <w:tab w:val="clear" w:pos="576"/>
          <w:tab w:val="clear" w:pos="2016"/>
          <w:tab w:val="clear" w:pos="3456"/>
          <w:tab w:val="clear" w:pos="4896"/>
          <w:tab w:val="left" w:pos="1192"/>
        </w:tabs>
        <w:suppressAutoHyphens w:val="0"/>
        <w:ind w:right="434"/>
        <w:rPr>
          <w:rFonts w:asciiTheme="minorHAnsi" w:hAnsiTheme="minorHAnsi"/>
          <w:szCs w:val="22"/>
        </w:rPr>
      </w:pPr>
      <w:r w:rsidRPr="00271157">
        <w:rPr>
          <w:rFonts w:asciiTheme="minorHAnsi" w:hAnsiTheme="minorHAnsi"/>
          <w:szCs w:val="22"/>
        </w:rPr>
        <w:t>Please provide any additional justification for induced utilization assumptions in the Company’s pricing.</w:t>
      </w:r>
    </w:p>
    <w:p w14:paraId="2A432A61" w14:textId="3650E577" w:rsidR="00643F68" w:rsidRPr="00271157" w:rsidRDefault="00643F68" w:rsidP="00A63B50">
      <w:pPr>
        <w:pStyle w:val="BodyText"/>
        <w:widowControl w:val="0"/>
        <w:numPr>
          <w:ilvl w:val="1"/>
          <w:numId w:val="19"/>
        </w:numPr>
        <w:tabs>
          <w:tab w:val="clear" w:pos="576"/>
          <w:tab w:val="clear" w:pos="2016"/>
          <w:tab w:val="clear" w:pos="3456"/>
          <w:tab w:val="clear" w:pos="4896"/>
          <w:tab w:val="left" w:pos="1192"/>
        </w:tabs>
        <w:suppressAutoHyphens w:val="0"/>
        <w:ind w:right="434"/>
        <w:rPr>
          <w:rFonts w:asciiTheme="minorHAnsi" w:hAnsiTheme="minorHAnsi"/>
          <w:szCs w:val="22"/>
        </w:rPr>
      </w:pPr>
      <w:r w:rsidRPr="00271157">
        <w:rPr>
          <w:rFonts w:asciiTheme="minorHAnsi" w:hAnsiTheme="minorHAnsi"/>
          <w:szCs w:val="22"/>
        </w:rPr>
        <w:t xml:space="preserve">Please confirm that each plan’s induced utilization factor was normalized by an aggregate factor, and that the resulting sumproduct (against </w:t>
      </w:r>
      <w:r w:rsidR="00287BFE" w:rsidRPr="00271157">
        <w:rPr>
          <w:rFonts w:asciiTheme="minorHAnsi" w:hAnsiTheme="minorHAnsi"/>
          <w:szCs w:val="22"/>
        </w:rPr>
        <w:t xml:space="preserve">2/1/17 </w:t>
      </w:r>
      <w:r w:rsidRPr="00271157">
        <w:rPr>
          <w:rFonts w:asciiTheme="minorHAnsi" w:hAnsiTheme="minorHAnsi"/>
          <w:szCs w:val="22"/>
        </w:rPr>
        <w:t>membership) produces a factor of 1.000. Please show the steps that demonstrate this.</w:t>
      </w:r>
      <w:r w:rsidR="00287BFE" w:rsidRPr="00271157">
        <w:rPr>
          <w:rFonts w:asciiTheme="minorHAnsi" w:hAnsiTheme="minorHAnsi"/>
          <w:i/>
        </w:rPr>
        <w:t xml:space="preserve"> [Note: PID requests comment on whether induced utilization values should be normalized, and if so, whether they should be normalized based on 2/1/17 enrollment or projected enrollment.]</w:t>
      </w:r>
    </w:p>
    <w:p w14:paraId="6DBD9125" w14:textId="77777777" w:rsidR="00643F68" w:rsidRPr="00271157" w:rsidRDefault="00643F68" w:rsidP="00FA684C">
      <w:pPr>
        <w:rPr>
          <w:rFonts w:asciiTheme="minorHAnsi" w:hAnsiTheme="minorHAnsi"/>
          <w:szCs w:val="22"/>
        </w:rPr>
      </w:pPr>
    </w:p>
    <w:p w14:paraId="1C762457" w14:textId="77777777" w:rsidR="00FA684C" w:rsidRPr="00271157" w:rsidRDefault="005949E2" w:rsidP="00FA684C">
      <w:pPr>
        <w:rPr>
          <w:rFonts w:asciiTheme="minorHAnsi" w:hAnsiTheme="minorHAnsi"/>
        </w:rPr>
      </w:pPr>
      <w:r w:rsidRPr="00271157">
        <w:rPr>
          <w:rFonts w:asciiTheme="minorHAnsi" w:hAnsiTheme="minorHAnsi"/>
        </w:rPr>
        <w:t>Column Q</w:t>
      </w:r>
      <w:r w:rsidR="00D76DEE" w:rsidRPr="00271157">
        <w:rPr>
          <w:rFonts w:asciiTheme="minorHAnsi" w:hAnsiTheme="minorHAnsi"/>
        </w:rPr>
        <w:t xml:space="preserve"> calculates the pure premium by multiplying the </w:t>
      </w:r>
      <w:r w:rsidR="00535749" w:rsidRPr="00271157">
        <w:rPr>
          <w:rFonts w:asciiTheme="minorHAnsi" w:hAnsiTheme="minorHAnsi"/>
        </w:rPr>
        <w:t>market-adjusted index rate</w:t>
      </w:r>
      <w:r w:rsidR="00535749" w:rsidRPr="00271157" w:rsidDel="00535749">
        <w:rPr>
          <w:rFonts w:asciiTheme="minorHAnsi" w:hAnsiTheme="minorHAnsi"/>
        </w:rPr>
        <w:t xml:space="preserve"> </w:t>
      </w:r>
      <w:r w:rsidR="00D76DEE" w:rsidRPr="00271157">
        <w:rPr>
          <w:rFonts w:asciiTheme="minorHAnsi" w:hAnsiTheme="minorHAnsi"/>
        </w:rPr>
        <w:t>by th</w:t>
      </w:r>
      <w:r w:rsidRPr="00271157">
        <w:rPr>
          <w:rFonts w:asciiTheme="minorHAnsi" w:hAnsiTheme="minorHAnsi"/>
        </w:rPr>
        <w:t>e factors in columns K through P</w:t>
      </w:r>
      <w:r w:rsidR="00D76DEE" w:rsidRPr="00271157">
        <w:rPr>
          <w:rFonts w:asciiTheme="minorHAnsi" w:hAnsiTheme="minorHAnsi"/>
        </w:rPr>
        <w:t>. The</w:t>
      </w:r>
      <w:r w:rsidRPr="00271157">
        <w:rPr>
          <w:rFonts w:asciiTheme="minorHAnsi" w:hAnsiTheme="minorHAnsi"/>
        </w:rPr>
        <w:t xml:space="preserve"> numbers in columns R through T</w:t>
      </w:r>
      <w:r w:rsidR="00D76DEE" w:rsidRPr="00271157">
        <w:rPr>
          <w:rFonts w:asciiTheme="minorHAnsi" w:hAnsiTheme="minorHAnsi"/>
        </w:rPr>
        <w:t xml:space="preserve"> should be reported as a percent of gross premium. </w:t>
      </w:r>
      <w:r w:rsidR="00FA684C" w:rsidRPr="00271157">
        <w:rPr>
          <w:rFonts w:asciiTheme="minorHAnsi" w:hAnsiTheme="minorHAnsi"/>
        </w:rPr>
        <w:t xml:space="preserve"> Please note, the </w:t>
      </w:r>
      <w:r w:rsidR="003435D0" w:rsidRPr="00271157">
        <w:rPr>
          <w:rFonts w:asciiTheme="minorHAnsi" w:hAnsiTheme="minorHAnsi"/>
        </w:rPr>
        <w:t>p</w:t>
      </w:r>
      <w:r w:rsidR="00FA684C" w:rsidRPr="00271157">
        <w:rPr>
          <w:rFonts w:asciiTheme="minorHAnsi" w:hAnsiTheme="minorHAnsi"/>
        </w:rPr>
        <w:t>rofit reported in column T should be on an after</w:t>
      </w:r>
      <w:r w:rsidR="003435D0" w:rsidRPr="00271157">
        <w:rPr>
          <w:rFonts w:asciiTheme="minorHAnsi" w:hAnsiTheme="minorHAnsi"/>
        </w:rPr>
        <w:t>-</w:t>
      </w:r>
      <w:r w:rsidR="00FA684C" w:rsidRPr="00271157">
        <w:rPr>
          <w:rFonts w:asciiTheme="minorHAnsi" w:hAnsiTheme="minorHAnsi"/>
        </w:rPr>
        <w:t>tax basis.</w:t>
      </w:r>
    </w:p>
    <w:p w14:paraId="7B5CE6A8" w14:textId="77777777" w:rsidR="00AE017A" w:rsidRPr="00271157" w:rsidRDefault="00AE017A" w:rsidP="00417281">
      <w:pPr>
        <w:rPr>
          <w:rFonts w:asciiTheme="minorHAnsi" w:hAnsiTheme="minorHAnsi"/>
        </w:rPr>
      </w:pPr>
    </w:p>
    <w:p w14:paraId="3609BF0E" w14:textId="77777777" w:rsidR="002A1A46" w:rsidRPr="00271157" w:rsidRDefault="009E1642" w:rsidP="00417281">
      <w:pPr>
        <w:rPr>
          <w:rFonts w:asciiTheme="minorHAnsi" w:hAnsiTheme="minorHAnsi"/>
        </w:rPr>
      </w:pPr>
      <w:r w:rsidRPr="00271157">
        <w:rPr>
          <w:rFonts w:asciiTheme="minorHAnsi" w:hAnsiTheme="minorHAnsi"/>
        </w:rPr>
        <w:t xml:space="preserve">The issuer should provide supporting information for these allowable </w:t>
      </w:r>
      <w:r w:rsidR="005949E2" w:rsidRPr="00271157">
        <w:rPr>
          <w:rFonts w:asciiTheme="minorHAnsi" w:hAnsiTheme="minorHAnsi"/>
        </w:rPr>
        <w:t xml:space="preserve">plan level </w:t>
      </w:r>
      <w:r w:rsidRPr="00271157">
        <w:rPr>
          <w:rFonts w:asciiTheme="minorHAnsi" w:hAnsiTheme="minorHAnsi"/>
        </w:rPr>
        <w:t xml:space="preserve">adjustments within the PA Actuarial Memorandum. For further information on these </w:t>
      </w:r>
      <w:r w:rsidR="005949E2" w:rsidRPr="00271157">
        <w:rPr>
          <w:rFonts w:asciiTheme="minorHAnsi" w:hAnsiTheme="minorHAnsi"/>
        </w:rPr>
        <w:t>allowable plan level adjustments</w:t>
      </w:r>
      <w:r w:rsidRPr="00271157">
        <w:rPr>
          <w:rFonts w:asciiTheme="minorHAnsi" w:hAnsiTheme="minorHAnsi"/>
        </w:rPr>
        <w:t xml:space="preserve">, please refer to the URRT instructions and the instructions for the Federal Part III Actuarial Memorandum. </w:t>
      </w:r>
    </w:p>
    <w:p w14:paraId="2EF35806" w14:textId="77777777" w:rsidR="002A1A46" w:rsidRPr="00271157" w:rsidRDefault="002A1A46" w:rsidP="00417281">
      <w:pPr>
        <w:rPr>
          <w:rFonts w:asciiTheme="minorHAnsi" w:hAnsiTheme="minorHAnsi"/>
        </w:rPr>
      </w:pPr>
    </w:p>
    <w:p w14:paraId="4884B326" w14:textId="77777777" w:rsidR="009E1642" w:rsidRPr="00271157" w:rsidRDefault="002A1A46" w:rsidP="00417281">
      <w:pPr>
        <w:rPr>
          <w:rFonts w:asciiTheme="minorHAnsi" w:hAnsiTheme="minorHAnsi"/>
        </w:rPr>
      </w:pPr>
      <w:r w:rsidRPr="00271157">
        <w:rPr>
          <w:rFonts w:asciiTheme="minorHAnsi" w:hAnsiTheme="minorHAnsi"/>
        </w:rPr>
        <w:t xml:space="preserve">In cells </w:t>
      </w:r>
      <w:r w:rsidR="00A01ECB" w:rsidRPr="00271157">
        <w:rPr>
          <w:rFonts w:asciiTheme="minorHAnsi" w:hAnsiTheme="minorHAnsi"/>
        </w:rPr>
        <w:t xml:space="preserve">T4 </w:t>
      </w:r>
      <w:r w:rsidRPr="00271157">
        <w:rPr>
          <w:rFonts w:asciiTheme="minorHAnsi" w:hAnsiTheme="minorHAnsi"/>
        </w:rPr>
        <w:t xml:space="preserve">and </w:t>
      </w:r>
      <w:r w:rsidR="00A01ECB" w:rsidRPr="00271157">
        <w:rPr>
          <w:rFonts w:asciiTheme="minorHAnsi" w:hAnsiTheme="minorHAnsi"/>
        </w:rPr>
        <w:t>T5</w:t>
      </w:r>
      <w:r w:rsidRPr="00271157">
        <w:rPr>
          <w:rFonts w:asciiTheme="minorHAnsi" w:hAnsiTheme="minorHAnsi"/>
        </w:rPr>
        <w:t xml:space="preserve">, the issuer should enter the </w:t>
      </w:r>
      <w:r w:rsidR="00E43213" w:rsidRPr="00271157">
        <w:rPr>
          <w:rFonts w:asciiTheme="minorHAnsi" w:hAnsiTheme="minorHAnsi"/>
        </w:rPr>
        <w:t xml:space="preserve">current, not projected, </w:t>
      </w:r>
      <w:r w:rsidRPr="00271157">
        <w:rPr>
          <w:rFonts w:asciiTheme="minorHAnsi" w:hAnsiTheme="minorHAnsi"/>
        </w:rPr>
        <w:t xml:space="preserve">age and geographic calibration factors. </w:t>
      </w:r>
      <w:r w:rsidR="00AE017A" w:rsidRPr="00271157">
        <w:rPr>
          <w:rFonts w:asciiTheme="minorHAnsi" w:hAnsiTheme="minorHAnsi"/>
        </w:rPr>
        <w:t>The age calibration may include an adjustment to account for the 3 child cap.   The development of all factors must be quantitatively shown.</w:t>
      </w:r>
    </w:p>
    <w:p w14:paraId="25D991E5" w14:textId="77777777" w:rsidR="00E43213" w:rsidRPr="00271157" w:rsidRDefault="00E43213" w:rsidP="00417281">
      <w:pPr>
        <w:rPr>
          <w:rFonts w:asciiTheme="minorHAnsi" w:hAnsiTheme="minorHAnsi"/>
        </w:rPr>
      </w:pPr>
    </w:p>
    <w:p w14:paraId="26BED6E9" w14:textId="77777777" w:rsidR="00E43213" w:rsidRPr="00271157" w:rsidRDefault="00E43213" w:rsidP="00417281">
      <w:pPr>
        <w:rPr>
          <w:rFonts w:asciiTheme="minorHAnsi" w:hAnsiTheme="minorHAnsi"/>
          <w:i/>
        </w:rPr>
      </w:pPr>
      <w:r w:rsidRPr="00271157">
        <w:rPr>
          <w:rFonts w:asciiTheme="minorHAnsi" w:hAnsiTheme="minorHAnsi"/>
          <w:i/>
        </w:rPr>
        <w:lastRenderedPageBreak/>
        <w:t>[Note: PID requests comment on whether issuers think the most appropriate calibration factors to use here are those for the current period or those for the projection period.]</w:t>
      </w:r>
    </w:p>
    <w:p w14:paraId="02475E86" w14:textId="77777777" w:rsidR="009E1642" w:rsidRPr="00271157" w:rsidRDefault="009E1642" w:rsidP="00417281">
      <w:pPr>
        <w:rPr>
          <w:rFonts w:asciiTheme="minorHAnsi" w:hAnsiTheme="minorHAnsi"/>
        </w:rPr>
      </w:pPr>
    </w:p>
    <w:p w14:paraId="0701DECD" w14:textId="77777777" w:rsidR="009E1642" w:rsidRPr="00271157" w:rsidRDefault="009E1642" w:rsidP="00417281">
      <w:pPr>
        <w:rPr>
          <w:rFonts w:asciiTheme="minorHAnsi" w:hAnsiTheme="minorHAnsi"/>
        </w:rPr>
      </w:pPr>
      <w:r w:rsidRPr="00271157">
        <w:rPr>
          <w:rFonts w:asciiTheme="minorHAnsi" w:hAnsiTheme="minorHAnsi"/>
        </w:rPr>
        <w:t xml:space="preserve">Columns </w:t>
      </w:r>
      <w:r w:rsidR="005949E2" w:rsidRPr="00271157">
        <w:rPr>
          <w:rFonts w:asciiTheme="minorHAnsi" w:hAnsiTheme="minorHAnsi"/>
        </w:rPr>
        <w:t>V</w:t>
      </w:r>
      <w:r w:rsidRPr="00271157">
        <w:rPr>
          <w:rFonts w:asciiTheme="minorHAnsi" w:hAnsiTheme="minorHAnsi"/>
        </w:rPr>
        <w:t xml:space="preserve"> </w:t>
      </w:r>
      <w:r w:rsidR="002A1A46" w:rsidRPr="00271157">
        <w:rPr>
          <w:rFonts w:asciiTheme="minorHAnsi" w:hAnsiTheme="minorHAnsi"/>
        </w:rPr>
        <w:t>and</w:t>
      </w:r>
      <w:r w:rsidRPr="00271157">
        <w:rPr>
          <w:rFonts w:asciiTheme="minorHAnsi" w:hAnsiTheme="minorHAnsi"/>
        </w:rPr>
        <w:t xml:space="preserve"> </w:t>
      </w:r>
      <w:r w:rsidR="005949E2" w:rsidRPr="00271157">
        <w:rPr>
          <w:rFonts w:asciiTheme="minorHAnsi" w:hAnsiTheme="minorHAnsi"/>
        </w:rPr>
        <w:t xml:space="preserve">W </w:t>
      </w:r>
      <w:r w:rsidRPr="00271157">
        <w:rPr>
          <w:rFonts w:asciiTheme="minorHAnsi" w:hAnsiTheme="minorHAnsi"/>
        </w:rPr>
        <w:t xml:space="preserve">require </w:t>
      </w:r>
      <w:r w:rsidR="002A1A46" w:rsidRPr="00271157">
        <w:rPr>
          <w:rFonts w:asciiTheme="minorHAnsi" w:hAnsiTheme="minorHAnsi"/>
        </w:rPr>
        <w:t>total covered lives</w:t>
      </w:r>
      <w:r w:rsidRPr="00271157">
        <w:rPr>
          <w:rFonts w:asciiTheme="minorHAnsi" w:hAnsiTheme="minorHAnsi"/>
        </w:rPr>
        <w:t xml:space="preserve"> and </w:t>
      </w:r>
      <w:r w:rsidR="002A1A46" w:rsidRPr="00271157">
        <w:rPr>
          <w:rFonts w:asciiTheme="minorHAnsi" w:hAnsiTheme="minorHAnsi"/>
        </w:rPr>
        <w:t>total policyholders</w:t>
      </w:r>
      <w:r w:rsidRPr="00271157">
        <w:rPr>
          <w:rFonts w:asciiTheme="minorHAnsi" w:hAnsiTheme="minorHAnsi"/>
        </w:rPr>
        <w:t xml:space="preserve"> by plan </w:t>
      </w:r>
      <w:r w:rsidR="00535749" w:rsidRPr="00271157">
        <w:rPr>
          <w:rFonts w:asciiTheme="minorHAnsi" w:hAnsiTheme="minorHAnsi"/>
        </w:rPr>
        <w:t xml:space="preserve">as of </w:t>
      </w:r>
      <w:r w:rsidR="009218B9" w:rsidRPr="00271157">
        <w:rPr>
          <w:rFonts w:asciiTheme="minorHAnsi" w:hAnsiTheme="minorHAnsi"/>
        </w:rPr>
        <w:t xml:space="preserve">February </w:t>
      </w:r>
      <w:r w:rsidR="00535749" w:rsidRPr="00271157">
        <w:rPr>
          <w:rFonts w:asciiTheme="minorHAnsi" w:hAnsiTheme="minorHAnsi"/>
        </w:rPr>
        <w:t>1, 201</w:t>
      </w:r>
      <w:r w:rsidR="00FA684C" w:rsidRPr="00271157">
        <w:rPr>
          <w:rFonts w:asciiTheme="minorHAnsi" w:hAnsiTheme="minorHAnsi"/>
        </w:rPr>
        <w:t>7</w:t>
      </w:r>
      <w:r w:rsidR="005949E2" w:rsidRPr="00271157">
        <w:rPr>
          <w:rFonts w:asciiTheme="minorHAnsi" w:hAnsiTheme="minorHAnsi"/>
        </w:rPr>
        <w:t>.</w:t>
      </w:r>
      <w:r w:rsidR="001E5AC4" w:rsidRPr="00271157">
        <w:rPr>
          <w:rFonts w:asciiTheme="minorHAnsi" w:hAnsiTheme="minorHAnsi"/>
        </w:rPr>
        <w:t xml:space="preserve"> </w:t>
      </w:r>
      <w:r w:rsidR="00731BD2" w:rsidRPr="00271157">
        <w:rPr>
          <w:rFonts w:asciiTheme="minorHAnsi" w:hAnsiTheme="minorHAnsi"/>
        </w:rPr>
        <w:t xml:space="preserve">Do not enter data in column V – it will autofill using the numbers </w:t>
      </w:r>
      <w:r w:rsidR="00607FC3" w:rsidRPr="00271157">
        <w:rPr>
          <w:rFonts w:asciiTheme="minorHAnsi" w:hAnsiTheme="minorHAnsi"/>
        </w:rPr>
        <w:t xml:space="preserve">entered in columns AG – AO and totaled in cell AP15 of this Table.  </w:t>
      </w:r>
      <w:r w:rsidR="00731BD2" w:rsidRPr="00271157">
        <w:rPr>
          <w:rFonts w:asciiTheme="minorHAnsi" w:hAnsiTheme="minorHAnsi"/>
        </w:rPr>
        <w:t xml:space="preserve"> </w:t>
      </w:r>
    </w:p>
    <w:p w14:paraId="6DCD00B7" w14:textId="77777777" w:rsidR="009E1642" w:rsidRPr="00271157" w:rsidRDefault="009E1642" w:rsidP="00417281">
      <w:pPr>
        <w:rPr>
          <w:rFonts w:asciiTheme="minorHAnsi" w:hAnsiTheme="minorHAnsi"/>
        </w:rPr>
      </w:pPr>
    </w:p>
    <w:p w14:paraId="6CA15DAF" w14:textId="77777777" w:rsidR="009E1642" w:rsidRPr="00271157" w:rsidRDefault="009E1642" w:rsidP="00417281">
      <w:pPr>
        <w:rPr>
          <w:rFonts w:asciiTheme="minorHAnsi" w:hAnsiTheme="minorHAnsi"/>
        </w:rPr>
      </w:pPr>
      <w:r w:rsidRPr="00271157">
        <w:rPr>
          <w:rFonts w:asciiTheme="minorHAnsi" w:hAnsiTheme="minorHAnsi"/>
        </w:rPr>
        <w:t xml:space="preserve">In Column </w:t>
      </w:r>
      <w:r w:rsidR="00A01ECB" w:rsidRPr="00271157">
        <w:rPr>
          <w:rFonts w:asciiTheme="minorHAnsi" w:hAnsiTheme="minorHAnsi"/>
        </w:rPr>
        <w:t>Z</w:t>
      </w:r>
      <w:r w:rsidRPr="00271157">
        <w:rPr>
          <w:rFonts w:asciiTheme="minorHAnsi" w:hAnsiTheme="minorHAnsi"/>
        </w:rPr>
        <w:t xml:space="preserve">, row </w:t>
      </w:r>
      <w:r w:rsidR="00050CD5" w:rsidRPr="00271157">
        <w:rPr>
          <w:rFonts w:asciiTheme="minorHAnsi" w:hAnsiTheme="minorHAnsi"/>
        </w:rPr>
        <w:t xml:space="preserve">17 </w:t>
      </w:r>
      <w:r w:rsidRPr="00271157">
        <w:rPr>
          <w:rFonts w:asciiTheme="minorHAnsi" w:hAnsiTheme="minorHAnsi"/>
        </w:rPr>
        <w:t xml:space="preserve">and following, the issuer is expected to fill in the </w:t>
      </w:r>
      <w:r w:rsidR="008A33A1" w:rsidRPr="00271157">
        <w:rPr>
          <w:rFonts w:asciiTheme="minorHAnsi" w:hAnsiTheme="minorHAnsi"/>
        </w:rPr>
        <w:t xml:space="preserve">annual individual or </w:t>
      </w:r>
      <w:r w:rsidR="00462B76" w:rsidRPr="00271157">
        <w:rPr>
          <w:rFonts w:asciiTheme="minorHAnsi" w:hAnsiTheme="minorHAnsi"/>
        </w:rPr>
        <w:t>average</w:t>
      </w:r>
      <w:r w:rsidR="008A33A1" w:rsidRPr="00271157">
        <w:rPr>
          <w:rFonts w:asciiTheme="minorHAnsi" w:hAnsiTheme="minorHAnsi"/>
        </w:rPr>
        <w:t xml:space="preserve"> small group 2017 </w:t>
      </w:r>
      <w:r w:rsidR="000A6D34" w:rsidRPr="00271157">
        <w:rPr>
          <w:rFonts w:asciiTheme="minorHAnsi" w:hAnsiTheme="minorHAnsi"/>
        </w:rPr>
        <w:t>approved calibrated</w:t>
      </w:r>
      <w:r w:rsidR="00D76DEE" w:rsidRPr="00271157">
        <w:rPr>
          <w:rFonts w:asciiTheme="minorHAnsi" w:hAnsiTheme="minorHAnsi"/>
        </w:rPr>
        <w:t xml:space="preserve"> plan adjusted index rates</w:t>
      </w:r>
      <w:r w:rsidRPr="00271157">
        <w:rPr>
          <w:rFonts w:asciiTheme="minorHAnsi" w:hAnsiTheme="minorHAnsi"/>
        </w:rPr>
        <w:t xml:space="preserve"> by plan offering. Starting in row </w:t>
      </w:r>
      <w:r w:rsidR="00050CD5" w:rsidRPr="00271157">
        <w:rPr>
          <w:rFonts w:asciiTheme="minorHAnsi" w:hAnsiTheme="minorHAnsi"/>
        </w:rPr>
        <w:t>17</w:t>
      </w:r>
      <w:r w:rsidRPr="00271157">
        <w:rPr>
          <w:rFonts w:asciiTheme="minorHAnsi" w:hAnsiTheme="minorHAnsi"/>
        </w:rPr>
        <w:t xml:space="preserve">, Column </w:t>
      </w:r>
      <w:r w:rsidR="00A01ECB" w:rsidRPr="00271157">
        <w:rPr>
          <w:rFonts w:asciiTheme="minorHAnsi" w:hAnsiTheme="minorHAnsi"/>
        </w:rPr>
        <w:t>AA</w:t>
      </w:r>
      <w:r w:rsidRPr="00271157">
        <w:rPr>
          <w:rFonts w:asciiTheme="minorHAnsi" w:hAnsiTheme="minorHAnsi"/>
        </w:rPr>
        <w:t xml:space="preserve">, each </w:t>
      </w:r>
      <w:r w:rsidR="00050CD5" w:rsidRPr="00271157">
        <w:rPr>
          <w:rFonts w:asciiTheme="minorHAnsi" w:hAnsiTheme="minorHAnsi"/>
        </w:rPr>
        <w:t xml:space="preserve">2018 </w:t>
      </w:r>
      <w:r w:rsidR="00535749" w:rsidRPr="00271157">
        <w:rPr>
          <w:rFonts w:asciiTheme="minorHAnsi" w:hAnsiTheme="minorHAnsi"/>
        </w:rPr>
        <w:t>calibrated plan adjusted index rate</w:t>
      </w:r>
      <w:r w:rsidR="00E714BE" w:rsidRPr="00271157">
        <w:rPr>
          <w:rFonts w:asciiTheme="minorHAnsi" w:hAnsiTheme="minorHAnsi"/>
        </w:rPr>
        <w:t xml:space="preserve"> </w:t>
      </w:r>
      <w:r w:rsidR="00731BD2" w:rsidRPr="00271157">
        <w:rPr>
          <w:rFonts w:asciiTheme="minorHAnsi" w:hAnsiTheme="minorHAnsi"/>
        </w:rPr>
        <w:t>is calculated by applying the p</w:t>
      </w:r>
      <w:r w:rsidRPr="00271157">
        <w:rPr>
          <w:rFonts w:asciiTheme="minorHAnsi" w:hAnsiTheme="minorHAnsi"/>
        </w:rPr>
        <w:t xml:space="preserve">roposed </w:t>
      </w:r>
      <w:r w:rsidR="00050CD5" w:rsidRPr="00271157">
        <w:rPr>
          <w:rFonts w:asciiTheme="minorHAnsi" w:hAnsiTheme="minorHAnsi"/>
        </w:rPr>
        <w:t xml:space="preserve">2018 </w:t>
      </w:r>
      <w:r w:rsidR="00731BD2" w:rsidRPr="00271157">
        <w:rPr>
          <w:rFonts w:asciiTheme="minorHAnsi" w:hAnsiTheme="minorHAnsi"/>
        </w:rPr>
        <w:t>plan a</w:t>
      </w:r>
      <w:r w:rsidRPr="00271157">
        <w:rPr>
          <w:rFonts w:asciiTheme="minorHAnsi" w:hAnsiTheme="minorHAnsi"/>
        </w:rPr>
        <w:t>djustment</w:t>
      </w:r>
      <w:r w:rsidR="00D76DEE" w:rsidRPr="00271157">
        <w:rPr>
          <w:rFonts w:asciiTheme="minorHAnsi" w:hAnsiTheme="minorHAnsi"/>
        </w:rPr>
        <w:t>s</w:t>
      </w:r>
      <w:r w:rsidRPr="00271157">
        <w:rPr>
          <w:rFonts w:asciiTheme="minorHAnsi" w:hAnsiTheme="minorHAnsi"/>
        </w:rPr>
        <w:t xml:space="preserve"> </w:t>
      </w:r>
      <w:r w:rsidR="00731BD2" w:rsidRPr="00271157">
        <w:rPr>
          <w:rFonts w:asciiTheme="minorHAnsi" w:hAnsiTheme="minorHAnsi"/>
        </w:rPr>
        <w:t>in columns K through P and R through T</w:t>
      </w:r>
      <w:r w:rsidR="00E714BE" w:rsidRPr="00271157">
        <w:rPr>
          <w:rFonts w:asciiTheme="minorHAnsi" w:hAnsiTheme="minorHAnsi"/>
        </w:rPr>
        <w:t xml:space="preserve">, and the calibration factor in cell </w:t>
      </w:r>
      <w:r w:rsidR="004C544C" w:rsidRPr="00271157">
        <w:rPr>
          <w:rFonts w:asciiTheme="minorHAnsi" w:hAnsiTheme="minorHAnsi"/>
        </w:rPr>
        <w:t>T6</w:t>
      </w:r>
      <w:r w:rsidR="00E714BE" w:rsidRPr="00271157">
        <w:rPr>
          <w:rFonts w:asciiTheme="minorHAnsi" w:hAnsiTheme="minorHAnsi"/>
        </w:rPr>
        <w:t>,</w:t>
      </w:r>
      <w:r w:rsidR="00D76DEE" w:rsidRPr="00271157">
        <w:rPr>
          <w:rFonts w:asciiTheme="minorHAnsi" w:hAnsiTheme="minorHAnsi"/>
        </w:rPr>
        <w:t xml:space="preserve"> </w:t>
      </w:r>
      <w:r w:rsidRPr="00271157">
        <w:rPr>
          <w:rFonts w:asciiTheme="minorHAnsi" w:hAnsiTheme="minorHAnsi"/>
        </w:rPr>
        <w:t xml:space="preserve">to the </w:t>
      </w:r>
      <w:r w:rsidR="00535749" w:rsidRPr="00271157">
        <w:rPr>
          <w:rFonts w:asciiTheme="minorHAnsi" w:hAnsiTheme="minorHAnsi"/>
        </w:rPr>
        <w:t>market-adjusted index rate</w:t>
      </w:r>
      <w:r w:rsidR="00535749" w:rsidRPr="00271157" w:rsidDel="00535749">
        <w:rPr>
          <w:rFonts w:asciiTheme="minorHAnsi" w:hAnsiTheme="minorHAnsi"/>
        </w:rPr>
        <w:t xml:space="preserve"> </w:t>
      </w:r>
      <w:r w:rsidRPr="00271157">
        <w:rPr>
          <w:rFonts w:asciiTheme="minorHAnsi" w:hAnsiTheme="minorHAnsi"/>
        </w:rPr>
        <w:t xml:space="preserve">in cell </w:t>
      </w:r>
      <w:r w:rsidR="00050CD5" w:rsidRPr="00271157">
        <w:rPr>
          <w:rFonts w:asciiTheme="minorHAnsi" w:hAnsiTheme="minorHAnsi"/>
        </w:rPr>
        <w:t>C11</w:t>
      </w:r>
      <w:r w:rsidRPr="00271157">
        <w:rPr>
          <w:rFonts w:asciiTheme="minorHAnsi" w:hAnsiTheme="minorHAnsi"/>
        </w:rPr>
        <w:t xml:space="preserve">. Weighted average rates for </w:t>
      </w:r>
      <w:r w:rsidR="00050CD5" w:rsidRPr="00271157">
        <w:rPr>
          <w:rFonts w:asciiTheme="minorHAnsi" w:hAnsiTheme="minorHAnsi"/>
        </w:rPr>
        <w:t xml:space="preserve">2017 </w:t>
      </w:r>
      <w:r w:rsidRPr="00271157">
        <w:rPr>
          <w:rFonts w:asciiTheme="minorHAnsi" w:hAnsiTheme="minorHAnsi"/>
        </w:rPr>
        <w:t xml:space="preserve">and </w:t>
      </w:r>
      <w:r w:rsidR="00050CD5" w:rsidRPr="00271157">
        <w:rPr>
          <w:rFonts w:asciiTheme="minorHAnsi" w:hAnsiTheme="minorHAnsi"/>
        </w:rPr>
        <w:t xml:space="preserve">2018 </w:t>
      </w:r>
      <w:r w:rsidRPr="00271157">
        <w:rPr>
          <w:rFonts w:asciiTheme="minorHAnsi" w:hAnsiTheme="minorHAnsi"/>
        </w:rPr>
        <w:t xml:space="preserve">are calculated using the </w:t>
      </w:r>
      <w:r w:rsidR="009218B9" w:rsidRPr="00271157">
        <w:rPr>
          <w:rFonts w:asciiTheme="minorHAnsi" w:hAnsiTheme="minorHAnsi"/>
        </w:rPr>
        <w:t>2</w:t>
      </w:r>
      <w:r w:rsidR="00535749" w:rsidRPr="00271157">
        <w:rPr>
          <w:rFonts w:asciiTheme="minorHAnsi" w:hAnsiTheme="minorHAnsi"/>
        </w:rPr>
        <w:t>/1/1</w:t>
      </w:r>
      <w:r w:rsidR="00050CD5" w:rsidRPr="00271157">
        <w:rPr>
          <w:rFonts w:asciiTheme="minorHAnsi" w:hAnsiTheme="minorHAnsi"/>
        </w:rPr>
        <w:t>7</w:t>
      </w:r>
      <w:r w:rsidR="00535749" w:rsidRPr="00271157">
        <w:rPr>
          <w:rFonts w:asciiTheme="minorHAnsi" w:hAnsiTheme="minorHAnsi"/>
        </w:rPr>
        <w:t xml:space="preserve"> </w:t>
      </w:r>
      <w:r w:rsidRPr="00271157">
        <w:rPr>
          <w:rFonts w:asciiTheme="minorHAnsi" w:hAnsiTheme="minorHAnsi"/>
        </w:rPr>
        <w:t xml:space="preserve">membership distribution by plan offering and average rate </w:t>
      </w:r>
      <w:r w:rsidR="0043088F" w:rsidRPr="00271157">
        <w:rPr>
          <w:rFonts w:asciiTheme="minorHAnsi" w:hAnsiTheme="minorHAnsi"/>
        </w:rPr>
        <w:t xml:space="preserve">changes </w:t>
      </w:r>
      <w:r w:rsidRPr="00271157">
        <w:rPr>
          <w:rFonts w:asciiTheme="minorHAnsi" w:hAnsiTheme="minorHAnsi"/>
        </w:rPr>
        <w:t xml:space="preserve">are calculated. </w:t>
      </w:r>
    </w:p>
    <w:p w14:paraId="0594052E" w14:textId="77777777" w:rsidR="00B01950" w:rsidRPr="00271157" w:rsidRDefault="00B01950" w:rsidP="00541891">
      <w:pPr>
        <w:pStyle w:val="Heading1"/>
        <w:rPr>
          <w:rFonts w:asciiTheme="minorHAnsi" w:hAnsiTheme="minorHAnsi"/>
        </w:rPr>
      </w:pPr>
      <w:bookmarkStart w:id="196" w:name="_Toc440553975"/>
      <w:bookmarkStart w:id="197" w:name="_Toc440555417"/>
      <w:bookmarkStart w:id="198" w:name="_Toc440555594"/>
      <w:bookmarkStart w:id="199" w:name="_Toc440555658"/>
      <w:bookmarkStart w:id="200" w:name="_Toc474316445"/>
      <w:r w:rsidRPr="00271157">
        <w:rPr>
          <w:rFonts w:asciiTheme="minorHAnsi" w:hAnsiTheme="minorHAnsi"/>
        </w:rPr>
        <w:t xml:space="preserve">Plan Premium Development </w:t>
      </w:r>
      <w:r w:rsidR="00683853" w:rsidRPr="00271157">
        <w:rPr>
          <w:rFonts w:asciiTheme="minorHAnsi" w:hAnsiTheme="minorHAnsi"/>
        </w:rPr>
        <w:t>for 21-Year-Old Non-Tobacco User</w:t>
      </w:r>
      <w:bookmarkEnd w:id="196"/>
      <w:bookmarkEnd w:id="197"/>
      <w:bookmarkEnd w:id="198"/>
      <w:bookmarkEnd w:id="199"/>
      <w:r w:rsidR="00DF34DE" w:rsidRPr="00271157">
        <w:rPr>
          <w:rFonts w:asciiTheme="minorHAnsi" w:hAnsiTheme="minorHAnsi"/>
        </w:rPr>
        <w:t xml:space="preserve"> </w:t>
      </w:r>
      <w:r w:rsidR="00DF34DE" w:rsidRPr="00271157">
        <w:rPr>
          <w:rFonts w:asciiTheme="minorHAnsi" w:hAnsiTheme="minorHAnsi"/>
          <w:b w:val="0"/>
        </w:rPr>
        <w:t>(Table 11)</w:t>
      </w:r>
      <w:bookmarkEnd w:id="200"/>
    </w:p>
    <w:p w14:paraId="1A9759E7" w14:textId="64B0A54C" w:rsidR="00B01950" w:rsidRPr="00271157" w:rsidRDefault="00B01950" w:rsidP="00B01950">
      <w:pPr>
        <w:rPr>
          <w:rFonts w:asciiTheme="minorHAnsi" w:hAnsiTheme="minorHAnsi"/>
        </w:rPr>
      </w:pPr>
      <w:r w:rsidRPr="00271157">
        <w:rPr>
          <w:rFonts w:asciiTheme="minorHAnsi" w:hAnsiTheme="minorHAnsi"/>
        </w:rPr>
        <w:t>The projected calibrated plan-adjusted index rate</w:t>
      </w:r>
      <w:r w:rsidR="0030373E" w:rsidRPr="00271157">
        <w:rPr>
          <w:rFonts w:asciiTheme="minorHAnsi" w:hAnsiTheme="minorHAnsi"/>
        </w:rPr>
        <w:t xml:space="preserve"> is used to develop the 21-year-</w:t>
      </w:r>
      <w:r w:rsidRPr="00271157">
        <w:rPr>
          <w:rFonts w:asciiTheme="minorHAnsi" w:hAnsiTheme="minorHAnsi"/>
        </w:rPr>
        <w:t>old non-tobacco premium</w:t>
      </w:r>
      <w:r w:rsidR="004D5ACA" w:rsidRPr="00271157">
        <w:rPr>
          <w:rFonts w:asciiTheme="minorHAnsi" w:hAnsiTheme="minorHAnsi"/>
        </w:rPr>
        <w:t xml:space="preserve"> in the individual market</w:t>
      </w:r>
      <w:r w:rsidR="001A48E8" w:rsidRPr="00271157">
        <w:rPr>
          <w:rFonts w:asciiTheme="minorHAnsi" w:hAnsiTheme="minorHAnsi"/>
        </w:rPr>
        <w:t xml:space="preserve"> on Tab IV A</w:t>
      </w:r>
      <w:r w:rsidR="004D5ACA" w:rsidRPr="00271157">
        <w:rPr>
          <w:rFonts w:asciiTheme="minorHAnsi" w:hAnsiTheme="minorHAnsi"/>
        </w:rPr>
        <w:t xml:space="preserve">, and the </w:t>
      </w:r>
      <w:r w:rsidR="00050CD5" w:rsidRPr="00271157">
        <w:rPr>
          <w:rFonts w:asciiTheme="minorHAnsi" w:hAnsiTheme="minorHAnsi"/>
        </w:rPr>
        <w:t>1</w:t>
      </w:r>
      <w:r w:rsidR="00050CD5" w:rsidRPr="00271157">
        <w:rPr>
          <w:rFonts w:asciiTheme="minorHAnsi" w:hAnsiTheme="minorHAnsi"/>
          <w:vertAlign w:val="superscript"/>
        </w:rPr>
        <w:t>st</w:t>
      </w:r>
      <w:r w:rsidR="00975772" w:rsidRPr="00271157">
        <w:rPr>
          <w:rFonts w:asciiTheme="minorHAnsi" w:hAnsiTheme="minorHAnsi"/>
        </w:rPr>
        <w:t>, 2</w:t>
      </w:r>
      <w:r w:rsidR="00975772" w:rsidRPr="00271157">
        <w:rPr>
          <w:rFonts w:asciiTheme="minorHAnsi" w:hAnsiTheme="minorHAnsi"/>
          <w:vertAlign w:val="superscript"/>
        </w:rPr>
        <w:t>nd</w:t>
      </w:r>
      <w:r w:rsidR="00975772" w:rsidRPr="00271157">
        <w:rPr>
          <w:rFonts w:asciiTheme="minorHAnsi" w:hAnsiTheme="minorHAnsi"/>
        </w:rPr>
        <w:t>, 3</w:t>
      </w:r>
      <w:r w:rsidR="00975772" w:rsidRPr="00271157">
        <w:rPr>
          <w:rFonts w:asciiTheme="minorHAnsi" w:hAnsiTheme="minorHAnsi"/>
          <w:vertAlign w:val="superscript"/>
        </w:rPr>
        <w:t>rd</w:t>
      </w:r>
      <w:r w:rsidR="00975772" w:rsidRPr="00271157">
        <w:rPr>
          <w:rFonts w:asciiTheme="minorHAnsi" w:hAnsiTheme="minorHAnsi"/>
        </w:rPr>
        <w:t>, and 4</w:t>
      </w:r>
      <w:r w:rsidR="00975772" w:rsidRPr="00271157">
        <w:rPr>
          <w:rFonts w:asciiTheme="minorHAnsi" w:hAnsiTheme="minorHAnsi"/>
          <w:vertAlign w:val="superscript"/>
        </w:rPr>
        <w:t>th</w:t>
      </w:r>
      <w:r w:rsidR="00975772" w:rsidRPr="00271157">
        <w:rPr>
          <w:rFonts w:asciiTheme="minorHAnsi" w:hAnsiTheme="minorHAnsi"/>
        </w:rPr>
        <w:t xml:space="preserve"> </w:t>
      </w:r>
      <w:r w:rsidR="00050CD5" w:rsidRPr="00271157">
        <w:rPr>
          <w:rFonts w:asciiTheme="minorHAnsi" w:hAnsiTheme="minorHAnsi"/>
        </w:rPr>
        <w:t xml:space="preserve">quarter </w:t>
      </w:r>
      <w:r w:rsidR="001A48E8" w:rsidRPr="00271157">
        <w:rPr>
          <w:rFonts w:asciiTheme="minorHAnsi" w:hAnsiTheme="minorHAnsi"/>
        </w:rPr>
        <w:t xml:space="preserve">21-year-old non-tobacco </w:t>
      </w:r>
      <w:r w:rsidR="004D5ACA" w:rsidRPr="00271157">
        <w:rPr>
          <w:rFonts w:asciiTheme="minorHAnsi" w:hAnsiTheme="minorHAnsi"/>
        </w:rPr>
        <w:t>premium in the small group market</w:t>
      </w:r>
      <w:r w:rsidR="001A48E8" w:rsidRPr="00271157">
        <w:rPr>
          <w:rFonts w:asciiTheme="minorHAnsi" w:hAnsiTheme="minorHAnsi"/>
        </w:rPr>
        <w:t xml:space="preserve"> on Tab IV B</w:t>
      </w:r>
      <w:r w:rsidRPr="00271157">
        <w:rPr>
          <w:rFonts w:asciiTheme="minorHAnsi" w:hAnsiTheme="minorHAnsi"/>
        </w:rPr>
        <w:t xml:space="preserve">. </w:t>
      </w:r>
      <w:r w:rsidR="00975772" w:rsidRPr="00271157">
        <w:rPr>
          <w:rFonts w:asciiTheme="minorHAnsi" w:hAnsiTheme="minorHAnsi"/>
        </w:rPr>
        <w:t xml:space="preserve">For individual market filings, </w:t>
      </w:r>
      <w:r w:rsidR="00050CD5" w:rsidRPr="00271157">
        <w:rPr>
          <w:rFonts w:asciiTheme="minorHAnsi" w:hAnsiTheme="minorHAnsi"/>
        </w:rPr>
        <w:t xml:space="preserve">2017 </w:t>
      </w:r>
      <w:r w:rsidRPr="00271157">
        <w:rPr>
          <w:rFonts w:asciiTheme="minorHAnsi" w:hAnsiTheme="minorHAnsi"/>
        </w:rPr>
        <w:t xml:space="preserve">and </w:t>
      </w:r>
      <w:r w:rsidR="00050CD5" w:rsidRPr="00271157">
        <w:rPr>
          <w:rFonts w:asciiTheme="minorHAnsi" w:hAnsiTheme="minorHAnsi"/>
        </w:rPr>
        <w:t xml:space="preserve">2018 </w:t>
      </w:r>
      <w:r w:rsidRPr="00271157">
        <w:rPr>
          <w:rFonts w:asciiTheme="minorHAnsi" w:hAnsiTheme="minorHAnsi"/>
        </w:rPr>
        <w:t>premiums are compared to calculate the average</w:t>
      </w:r>
      <w:r w:rsidR="00731BD2" w:rsidRPr="00271157">
        <w:rPr>
          <w:rFonts w:asciiTheme="minorHAnsi" w:hAnsiTheme="minorHAnsi"/>
        </w:rPr>
        <w:t xml:space="preserve"> 21-year-old</w:t>
      </w:r>
      <w:r w:rsidRPr="00271157">
        <w:rPr>
          <w:rFonts w:asciiTheme="minorHAnsi" w:hAnsiTheme="minorHAnsi"/>
        </w:rPr>
        <w:t xml:space="preserve"> premium increase.</w:t>
      </w:r>
      <w:r w:rsidR="00975772" w:rsidRPr="00271157">
        <w:rPr>
          <w:rFonts w:asciiTheme="minorHAnsi" w:hAnsiTheme="minorHAnsi"/>
        </w:rPr>
        <w:t xml:space="preserve"> For small group market </w:t>
      </w:r>
      <w:r w:rsidR="00AB6DB9" w:rsidRPr="00271157">
        <w:rPr>
          <w:rFonts w:asciiTheme="minorHAnsi" w:hAnsiTheme="minorHAnsi"/>
        </w:rPr>
        <w:t>filings, 1</w:t>
      </w:r>
      <w:r w:rsidR="00AB6DB9" w:rsidRPr="00271157">
        <w:rPr>
          <w:rFonts w:asciiTheme="minorHAnsi" w:hAnsiTheme="minorHAnsi"/>
          <w:vertAlign w:val="superscript"/>
        </w:rPr>
        <w:t>st</w:t>
      </w:r>
      <w:r w:rsidR="00AB6DB9" w:rsidRPr="00271157">
        <w:rPr>
          <w:rFonts w:asciiTheme="minorHAnsi" w:hAnsiTheme="minorHAnsi"/>
        </w:rPr>
        <w:t xml:space="preserve"> quarter 2017 and 2018 rates are compared to calculate the average 21-year-old premium increase in the 1</w:t>
      </w:r>
      <w:r w:rsidR="00AB6DB9" w:rsidRPr="00271157">
        <w:rPr>
          <w:rFonts w:asciiTheme="minorHAnsi" w:hAnsiTheme="minorHAnsi"/>
          <w:vertAlign w:val="superscript"/>
        </w:rPr>
        <w:t>st</w:t>
      </w:r>
      <w:r w:rsidR="00AB6DB9" w:rsidRPr="00271157">
        <w:rPr>
          <w:rFonts w:asciiTheme="minorHAnsi" w:hAnsiTheme="minorHAnsi"/>
        </w:rPr>
        <w:t xml:space="preserve"> quarter. Rates for 2</w:t>
      </w:r>
      <w:r w:rsidR="00AB6DB9" w:rsidRPr="00271157">
        <w:rPr>
          <w:rFonts w:asciiTheme="minorHAnsi" w:hAnsiTheme="minorHAnsi"/>
          <w:vertAlign w:val="superscript"/>
        </w:rPr>
        <w:t>nd</w:t>
      </w:r>
      <w:r w:rsidR="00AB6DB9" w:rsidRPr="00271157">
        <w:rPr>
          <w:rFonts w:asciiTheme="minorHAnsi" w:hAnsiTheme="minorHAnsi"/>
        </w:rPr>
        <w:t>, 3</w:t>
      </w:r>
      <w:r w:rsidR="00AB6DB9" w:rsidRPr="00271157">
        <w:rPr>
          <w:rFonts w:asciiTheme="minorHAnsi" w:hAnsiTheme="minorHAnsi"/>
          <w:vertAlign w:val="superscript"/>
        </w:rPr>
        <w:t>rd</w:t>
      </w:r>
      <w:r w:rsidR="00AB6DB9" w:rsidRPr="00271157">
        <w:rPr>
          <w:rFonts w:asciiTheme="minorHAnsi" w:hAnsiTheme="minorHAnsi"/>
        </w:rPr>
        <w:t>, and 4</w:t>
      </w:r>
      <w:r w:rsidR="00AB6DB9" w:rsidRPr="00271157">
        <w:rPr>
          <w:rFonts w:asciiTheme="minorHAnsi" w:hAnsiTheme="minorHAnsi"/>
          <w:vertAlign w:val="superscript"/>
        </w:rPr>
        <w:t>th</w:t>
      </w:r>
      <w:r w:rsidR="00AB6DB9" w:rsidRPr="00271157">
        <w:rPr>
          <w:rFonts w:asciiTheme="minorHAnsi" w:hAnsiTheme="minorHAnsi"/>
        </w:rPr>
        <w:t xml:space="preserve"> quarters may be changed through quarterly filings. </w:t>
      </w:r>
    </w:p>
    <w:p w14:paraId="3B60C27E" w14:textId="77777777" w:rsidR="00F36318" w:rsidRPr="00271157" w:rsidRDefault="00F36318" w:rsidP="00B01950">
      <w:pPr>
        <w:rPr>
          <w:rFonts w:asciiTheme="minorHAnsi" w:hAnsiTheme="minorHAnsi"/>
          <w:i/>
        </w:rPr>
      </w:pPr>
    </w:p>
    <w:p w14:paraId="0A1231DF" w14:textId="77777777" w:rsidR="00B01950" w:rsidRPr="00271157" w:rsidRDefault="00B01950" w:rsidP="00B01950">
      <w:pPr>
        <w:rPr>
          <w:rFonts w:asciiTheme="minorHAnsi" w:hAnsiTheme="minorHAnsi"/>
          <w:i/>
        </w:rPr>
      </w:pPr>
      <w:r w:rsidRPr="00271157">
        <w:rPr>
          <w:rFonts w:asciiTheme="minorHAnsi" w:hAnsiTheme="minorHAnsi"/>
          <w:i/>
        </w:rPr>
        <w:t xml:space="preserve">Instructions for Completing Table </w:t>
      </w:r>
      <w:r w:rsidR="0043088F" w:rsidRPr="00271157">
        <w:rPr>
          <w:rFonts w:asciiTheme="minorHAnsi" w:hAnsiTheme="minorHAnsi"/>
          <w:i/>
        </w:rPr>
        <w:t xml:space="preserve">11 </w:t>
      </w:r>
      <w:r w:rsidRPr="00271157">
        <w:rPr>
          <w:rFonts w:asciiTheme="minorHAnsi" w:hAnsiTheme="minorHAnsi"/>
          <w:i/>
        </w:rPr>
        <w:t xml:space="preserve">of the PA Rate Template </w:t>
      </w:r>
    </w:p>
    <w:p w14:paraId="770FE02C" w14:textId="77777777" w:rsidR="00E43213" w:rsidRPr="00271157" w:rsidRDefault="0075281A" w:rsidP="00E43213">
      <w:pPr>
        <w:rPr>
          <w:rFonts w:asciiTheme="minorHAnsi" w:hAnsiTheme="minorHAnsi"/>
        </w:rPr>
      </w:pPr>
      <w:r w:rsidRPr="00271157">
        <w:rPr>
          <w:rFonts w:asciiTheme="minorHAnsi" w:hAnsiTheme="minorHAnsi"/>
        </w:rPr>
        <w:t xml:space="preserve">In </w:t>
      </w:r>
      <w:r w:rsidR="00CB0795" w:rsidRPr="00271157">
        <w:rPr>
          <w:rFonts w:asciiTheme="minorHAnsi" w:hAnsiTheme="minorHAnsi"/>
        </w:rPr>
        <w:t>Table 11</w:t>
      </w:r>
      <w:r w:rsidRPr="00271157">
        <w:rPr>
          <w:rFonts w:asciiTheme="minorHAnsi" w:hAnsiTheme="minorHAnsi"/>
        </w:rPr>
        <w:t xml:space="preserve"> Tab </w:t>
      </w:r>
      <w:r w:rsidR="00E43213" w:rsidRPr="00271157">
        <w:rPr>
          <w:rFonts w:asciiTheme="minorHAnsi" w:hAnsiTheme="minorHAnsi"/>
        </w:rPr>
        <w:t xml:space="preserve">IV A (individual market filing), no inputs are needed. In Table 11 Tab </w:t>
      </w:r>
      <w:r w:rsidRPr="00271157">
        <w:rPr>
          <w:rFonts w:asciiTheme="minorHAnsi" w:hAnsiTheme="minorHAnsi"/>
        </w:rPr>
        <w:t>IV B, columns I through Q, issuers are required to enter the 1</w:t>
      </w:r>
      <w:r w:rsidRPr="00271157">
        <w:rPr>
          <w:rFonts w:asciiTheme="minorHAnsi" w:hAnsiTheme="minorHAnsi"/>
          <w:vertAlign w:val="superscript"/>
        </w:rPr>
        <w:t>st</w:t>
      </w:r>
      <w:r w:rsidRPr="00271157">
        <w:rPr>
          <w:rFonts w:asciiTheme="minorHAnsi" w:hAnsiTheme="minorHAnsi"/>
        </w:rPr>
        <w:t xml:space="preserve"> quarter non-tobacco premium rate for each rating area  All other cells </w:t>
      </w:r>
      <w:r w:rsidR="00B01950" w:rsidRPr="00271157">
        <w:rPr>
          <w:rFonts w:asciiTheme="minorHAnsi" w:hAnsiTheme="minorHAnsi"/>
        </w:rPr>
        <w:t>will automatically calculate</w:t>
      </w:r>
      <w:r w:rsidRPr="00271157">
        <w:rPr>
          <w:rFonts w:asciiTheme="minorHAnsi" w:hAnsiTheme="minorHAnsi"/>
        </w:rPr>
        <w:t>.</w:t>
      </w:r>
      <w:r w:rsidR="00B01950" w:rsidRPr="00271157">
        <w:rPr>
          <w:rFonts w:asciiTheme="minorHAnsi" w:hAnsiTheme="minorHAnsi"/>
        </w:rPr>
        <w:t xml:space="preserve"> </w:t>
      </w:r>
      <w:bookmarkStart w:id="201" w:name="_Toc440553976"/>
      <w:bookmarkStart w:id="202" w:name="_Toc440555418"/>
      <w:bookmarkStart w:id="203" w:name="_Toc440555595"/>
      <w:bookmarkStart w:id="204" w:name="_Toc440555659"/>
    </w:p>
    <w:p w14:paraId="3717DF9C" w14:textId="77777777" w:rsidR="00E54AEF" w:rsidRPr="00271157" w:rsidRDefault="00E54AEF" w:rsidP="00E43213">
      <w:pPr>
        <w:pStyle w:val="Heading1"/>
        <w:rPr>
          <w:rFonts w:asciiTheme="minorHAnsi" w:hAnsiTheme="minorHAnsi"/>
        </w:rPr>
      </w:pPr>
      <w:bookmarkStart w:id="205" w:name="_Toc474316446"/>
      <w:r w:rsidRPr="00271157">
        <w:rPr>
          <w:rFonts w:asciiTheme="minorHAnsi" w:hAnsiTheme="minorHAnsi"/>
        </w:rPr>
        <w:t>Plan Factors</w:t>
      </w:r>
      <w:bookmarkEnd w:id="201"/>
      <w:bookmarkEnd w:id="202"/>
      <w:bookmarkEnd w:id="203"/>
      <w:bookmarkEnd w:id="204"/>
      <w:bookmarkEnd w:id="205"/>
    </w:p>
    <w:p w14:paraId="29EA459B" w14:textId="77777777" w:rsidR="00E54AEF" w:rsidRPr="00271157" w:rsidRDefault="00E54AEF" w:rsidP="007E6C90">
      <w:pPr>
        <w:pStyle w:val="Heading2"/>
        <w:numPr>
          <w:ilvl w:val="0"/>
          <w:numId w:val="6"/>
        </w:numPr>
        <w:rPr>
          <w:rFonts w:asciiTheme="minorHAnsi" w:hAnsiTheme="minorHAnsi"/>
        </w:rPr>
      </w:pPr>
      <w:bookmarkStart w:id="206" w:name="_Toc440553977"/>
      <w:bookmarkStart w:id="207" w:name="_Toc440555419"/>
      <w:bookmarkStart w:id="208" w:name="_Toc440555596"/>
      <w:bookmarkStart w:id="209" w:name="_Toc440555660"/>
      <w:bookmarkStart w:id="210" w:name="_Toc474316447"/>
      <w:r w:rsidRPr="00271157">
        <w:rPr>
          <w:rFonts w:asciiTheme="minorHAnsi" w:hAnsiTheme="minorHAnsi"/>
        </w:rPr>
        <w:t>Age and Tobacco Factors</w:t>
      </w:r>
      <w:bookmarkEnd w:id="206"/>
      <w:bookmarkEnd w:id="207"/>
      <w:bookmarkEnd w:id="208"/>
      <w:bookmarkEnd w:id="209"/>
      <w:r w:rsidR="00DF34DE" w:rsidRPr="00271157">
        <w:rPr>
          <w:rFonts w:asciiTheme="minorHAnsi" w:hAnsiTheme="minorHAnsi"/>
        </w:rPr>
        <w:t xml:space="preserve"> (Table 12)</w:t>
      </w:r>
      <w:bookmarkEnd w:id="210"/>
    </w:p>
    <w:p w14:paraId="1B7D0E4C" w14:textId="77777777" w:rsidR="00E54AEF" w:rsidRPr="00271157" w:rsidRDefault="0043088F" w:rsidP="00B47CAC">
      <w:pPr>
        <w:rPr>
          <w:rFonts w:asciiTheme="minorHAnsi" w:hAnsiTheme="minorHAnsi"/>
        </w:rPr>
      </w:pPr>
      <w:r w:rsidRPr="00271157">
        <w:rPr>
          <w:rFonts w:asciiTheme="minorHAnsi" w:hAnsiTheme="minorHAnsi"/>
        </w:rPr>
        <w:t xml:space="preserve">Complete Table 12 by entering in the tobacco factor used for each age band. </w:t>
      </w:r>
      <w:r w:rsidR="00A436EE" w:rsidRPr="00271157">
        <w:rPr>
          <w:rFonts w:asciiTheme="minorHAnsi" w:hAnsiTheme="minorHAnsi"/>
        </w:rPr>
        <w:t>Pennsylvania uses the default federal standard age curve.</w:t>
      </w:r>
      <w:r w:rsidRPr="00271157">
        <w:rPr>
          <w:rFonts w:asciiTheme="minorHAnsi" w:hAnsiTheme="minorHAnsi"/>
        </w:rPr>
        <w:t xml:space="preserve"> </w:t>
      </w:r>
      <w:r w:rsidR="009D7CF7" w:rsidRPr="00271157">
        <w:rPr>
          <w:rFonts w:asciiTheme="minorHAnsi" w:hAnsiTheme="minorHAnsi"/>
        </w:rPr>
        <w:t xml:space="preserve"> Consistent with CMS, the 2018 age bands have been updated to parse the former 0 to 20 age band as shown in Tab V Table 12.  Note with this change, the tobacco factor may now be applied to age bands 18, 19 and 20.</w:t>
      </w:r>
    </w:p>
    <w:p w14:paraId="279A3BEC" w14:textId="77777777" w:rsidR="000D2C9D" w:rsidRPr="00271157" w:rsidRDefault="000D2C9D" w:rsidP="000D2C9D">
      <w:pPr>
        <w:rPr>
          <w:rFonts w:asciiTheme="minorHAnsi" w:hAnsiTheme="minorHAnsi"/>
        </w:rPr>
      </w:pPr>
    </w:p>
    <w:p w14:paraId="62F99D0E" w14:textId="77777777" w:rsidR="000D2C9D" w:rsidRPr="00271157" w:rsidRDefault="00631864" w:rsidP="000D2C9D">
      <w:pPr>
        <w:rPr>
          <w:rFonts w:asciiTheme="minorHAnsi" w:hAnsiTheme="minorHAnsi"/>
        </w:rPr>
      </w:pPr>
      <w:r w:rsidRPr="00271157">
        <w:rPr>
          <w:rFonts w:asciiTheme="minorHAnsi" w:hAnsiTheme="minorHAnsi"/>
        </w:rPr>
        <w:t>Note:  The member-level rate build-up is capped such that no more than the three oldest covered children under age 21 can be taken into account when determining the total family premium.</w:t>
      </w:r>
    </w:p>
    <w:p w14:paraId="1D0B1780" w14:textId="77777777" w:rsidR="00E54AEF" w:rsidRPr="00271157" w:rsidRDefault="00E54AEF" w:rsidP="007E6C90">
      <w:pPr>
        <w:pStyle w:val="Heading2"/>
        <w:numPr>
          <w:ilvl w:val="0"/>
          <w:numId w:val="6"/>
        </w:numPr>
        <w:rPr>
          <w:rFonts w:asciiTheme="minorHAnsi" w:hAnsiTheme="minorHAnsi"/>
        </w:rPr>
      </w:pPr>
      <w:bookmarkStart w:id="211" w:name="_Toc440553978"/>
      <w:bookmarkStart w:id="212" w:name="_Toc440555420"/>
      <w:bookmarkStart w:id="213" w:name="_Toc440555597"/>
      <w:bookmarkStart w:id="214" w:name="_Toc440555661"/>
      <w:bookmarkStart w:id="215" w:name="_Toc440556190"/>
      <w:bookmarkStart w:id="216" w:name="_Toc474316448"/>
      <w:r w:rsidRPr="00271157">
        <w:rPr>
          <w:rFonts w:asciiTheme="minorHAnsi" w:hAnsiTheme="minorHAnsi"/>
        </w:rPr>
        <w:t>Geographic Factors</w:t>
      </w:r>
      <w:bookmarkEnd w:id="211"/>
      <w:bookmarkEnd w:id="212"/>
      <w:bookmarkEnd w:id="213"/>
      <w:bookmarkEnd w:id="214"/>
      <w:bookmarkEnd w:id="215"/>
      <w:r w:rsidR="00DF34DE" w:rsidRPr="00271157">
        <w:rPr>
          <w:rFonts w:asciiTheme="minorHAnsi" w:hAnsiTheme="minorHAnsi"/>
        </w:rPr>
        <w:t xml:space="preserve"> (Table 13)</w:t>
      </w:r>
      <w:bookmarkEnd w:id="216"/>
    </w:p>
    <w:p w14:paraId="4D91552D" w14:textId="77777777" w:rsidR="00852C2A" w:rsidRPr="00271157" w:rsidRDefault="0043088F" w:rsidP="00852C2A">
      <w:pPr>
        <w:rPr>
          <w:rFonts w:asciiTheme="minorHAnsi" w:hAnsiTheme="minorHAnsi"/>
        </w:rPr>
      </w:pPr>
      <w:r w:rsidRPr="00271157">
        <w:rPr>
          <w:rFonts w:asciiTheme="minorHAnsi" w:hAnsiTheme="minorHAnsi"/>
        </w:rPr>
        <w:t xml:space="preserve">Complete Table 13. </w:t>
      </w:r>
      <w:r w:rsidR="00852C2A" w:rsidRPr="00271157">
        <w:rPr>
          <w:rFonts w:asciiTheme="minorHAnsi" w:hAnsiTheme="minorHAnsi"/>
        </w:rPr>
        <w:t>If the proposed geographic factors are not consistent with the current approved factors, data and narrative must be provided indicating the development of each factor.</w:t>
      </w:r>
    </w:p>
    <w:p w14:paraId="5B7D8AB8" w14:textId="77777777" w:rsidR="00E54AEF" w:rsidRPr="00271157" w:rsidRDefault="00E54AEF" w:rsidP="007E6C90">
      <w:pPr>
        <w:pStyle w:val="Heading2"/>
        <w:numPr>
          <w:ilvl w:val="0"/>
          <w:numId w:val="6"/>
        </w:numPr>
        <w:rPr>
          <w:rFonts w:asciiTheme="minorHAnsi" w:hAnsiTheme="minorHAnsi"/>
        </w:rPr>
      </w:pPr>
      <w:bookmarkStart w:id="217" w:name="_Toc440553979"/>
      <w:bookmarkStart w:id="218" w:name="_Toc440555421"/>
      <w:bookmarkStart w:id="219" w:name="_Toc440555598"/>
      <w:bookmarkStart w:id="220" w:name="_Toc440555662"/>
      <w:bookmarkStart w:id="221" w:name="_Toc474316449"/>
      <w:r w:rsidRPr="00271157">
        <w:rPr>
          <w:rFonts w:asciiTheme="minorHAnsi" w:hAnsiTheme="minorHAnsi"/>
        </w:rPr>
        <w:lastRenderedPageBreak/>
        <w:t>Network Factors</w:t>
      </w:r>
      <w:bookmarkEnd w:id="217"/>
      <w:bookmarkEnd w:id="218"/>
      <w:bookmarkEnd w:id="219"/>
      <w:bookmarkEnd w:id="220"/>
      <w:r w:rsidR="00DF34DE" w:rsidRPr="00271157">
        <w:rPr>
          <w:rFonts w:asciiTheme="minorHAnsi" w:hAnsiTheme="minorHAnsi"/>
        </w:rPr>
        <w:t xml:space="preserve"> (Table 14)</w:t>
      </w:r>
      <w:bookmarkEnd w:id="221"/>
    </w:p>
    <w:p w14:paraId="7A3F99D8" w14:textId="77777777" w:rsidR="00422A8F" w:rsidRPr="00271157" w:rsidRDefault="0043088F" w:rsidP="00422A8F">
      <w:pPr>
        <w:rPr>
          <w:rFonts w:asciiTheme="minorHAnsi" w:hAnsiTheme="minorHAnsi"/>
        </w:rPr>
      </w:pPr>
      <w:r w:rsidRPr="00271157">
        <w:rPr>
          <w:rFonts w:asciiTheme="minorHAnsi" w:hAnsiTheme="minorHAnsi"/>
        </w:rPr>
        <w:t xml:space="preserve">Complete Table 14. </w:t>
      </w:r>
      <w:r w:rsidR="00422A8F" w:rsidRPr="00271157">
        <w:rPr>
          <w:rFonts w:asciiTheme="minorHAnsi" w:hAnsiTheme="minorHAnsi"/>
        </w:rPr>
        <w:t xml:space="preserve">For each network, only one network rating factor per state per market may be used.  That factor is applied to all plans the carrier has in all applicable rating areas uniformly.  If multiple networks </w:t>
      </w:r>
      <w:r w:rsidR="00731BD2" w:rsidRPr="00271157">
        <w:rPr>
          <w:rFonts w:asciiTheme="minorHAnsi" w:hAnsiTheme="minorHAnsi"/>
        </w:rPr>
        <w:t xml:space="preserve">exist </w:t>
      </w:r>
      <w:r w:rsidR="00422A8F" w:rsidRPr="00271157">
        <w:rPr>
          <w:rFonts w:asciiTheme="minorHAnsi" w:hAnsiTheme="minorHAnsi"/>
        </w:rPr>
        <w:t xml:space="preserve">within a given rating area, a separate plan ID# for each network within the rating area must be used. </w:t>
      </w:r>
    </w:p>
    <w:p w14:paraId="74FDEDF9" w14:textId="77777777" w:rsidR="00422A8F" w:rsidRPr="00271157" w:rsidRDefault="00422A8F" w:rsidP="007E6C90">
      <w:pPr>
        <w:pStyle w:val="Heading2"/>
        <w:numPr>
          <w:ilvl w:val="0"/>
          <w:numId w:val="6"/>
        </w:numPr>
        <w:rPr>
          <w:rFonts w:asciiTheme="minorHAnsi" w:hAnsiTheme="minorHAnsi"/>
        </w:rPr>
      </w:pPr>
      <w:bookmarkStart w:id="222" w:name="_Toc440553980"/>
      <w:bookmarkStart w:id="223" w:name="_Toc440555422"/>
      <w:bookmarkStart w:id="224" w:name="_Toc440555599"/>
      <w:bookmarkStart w:id="225" w:name="_Toc440555663"/>
      <w:bookmarkStart w:id="226" w:name="_Toc474316450"/>
      <w:r w:rsidRPr="00271157">
        <w:rPr>
          <w:rFonts w:asciiTheme="minorHAnsi" w:hAnsiTheme="minorHAnsi"/>
        </w:rPr>
        <w:t>Service Area Composition</w:t>
      </w:r>
      <w:bookmarkEnd w:id="222"/>
      <w:bookmarkEnd w:id="223"/>
      <w:bookmarkEnd w:id="224"/>
      <w:bookmarkEnd w:id="225"/>
      <w:bookmarkEnd w:id="226"/>
      <w:r w:rsidRPr="00271157">
        <w:rPr>
          <w:rFonts w:asciiTheme="minorHAnsi" w:hAnsiTheme="minorHAnsi"/>
        </w:rPr>
        <w:t xml:space="preserve"> </w:t>
      </w:r>
    </w:p>
    <w:p w14:paraId="4C9F690F" w14:textId="77777777" w:rsidR="00422A8F" w:rsidRPr="00271157" w:rsidRDefault="00422A8F" w:rsidP="00422A8F">
      <w:pPr>
        <w:rPr>
          <w:rFonts w:asciiTheme="minorHAnsi" w:hAnsiTheme="minorHAnsi"/>
        </w:rPr>
      </w:pPr>
      <w:r w:rsidRPr="00271157">
        <w:rPr>
          <w:rFonts w:asciiTheme="minorHAnsi" w:hAnsiTheme="minorHAnsi"/>
        </w:rPr>
        <w:t xml:space="preserve">If multiple service areas exist, show the counties that comprise </w:t>
      </w:r>
      <w:r w:rsidR="00731BD2" w:rsidRPr="00271157">
        <w:rPr>
          <w:rFonts w:asciiTheme="minorHAnsi" w:hAnsiTheme="minorHAnsi"/>
        </w:rPr>
        <w:t>each</w:t>
      </w:r>
      <w:r w:rsidRPr="00271157">
        <w:rPr>
          <w:rFonts w:asciiTheme="minorHAnsi" w:hAnsiTheme="minorHAnsi"/>
        </w:rPr>
        <w:t xml:space="preserve"> service area.</w:t>
      </w:r>
      <w:r w:rsidR="00CE364A" w:rsidRPr="00271157">
        <w:rPr>
          <w:rFonts w:asciiTheme="minorHAnsi" w:hAnsiTheme="minorHAnsi"/>
        </w:rPr>
        <w:t xml:space="preserve"> If this filing proposes Service Area changes relative to the last approved filing, detail the changes and their cause.</w:t>
      </w:r>
    </w:p>
    <w:p w14:paraId="1A8E4B2E" w14:textId="77777777" w:rsidR="00EF10F5" w:rsidRPr="00271157" w:rsidRDefault="00EF10F5" w:rsidP="007E6C90">
      <w:pPr>
        <w:pStyle w:val="Heading2"/>
        <w:numPr>
          <w:ilvl w:val="0"/>
          <w:numId w:val="6"/>
        </w:numPr>
        <w:rPr>
          <w:rFonts w:asciiTheme="minorHAnsi" w:hAnsiTheme="minorHAnsi"/>
        </w:rPr>
      </w:pPr>
      <w:bookmarkStart w:id="227" w:name="_Toc440553981"/>
      <w:bookmarkStart w:id="228" w:name="_Toc440555423"/>
      <w:bookmarkStart w:id="229" w:name="_Toc440555600"/>
      <w:bookmarkStart w:id="230" w:name="_Toc440555664"/>
      <w:bookmarkStart w:id="231" w:name="_Toc474316451"/>
      <w:r w:rsidRPr="00271157">
        <w:rPr>
          <w:rFonts w:asciiTheme="minorHAnsi" w:hAnsiTheme="minorHAnsi"/>
        </w:rPr>
        <w:t>Composite Rating</w:t>
      </w:r>
      <w:bookmarkEnd w:id="227"/>
      <w:bookmarkEnd w:id="228"/>
      <w:bookmarkEnd w:id="229"/>
      <w:bookmarkEnd w:id="230"/>
      <w:bookmarkEnd w:id="231"/>
    </w:p>
    <w:p w14:paraId="5FE6D84F" w14:textId="6EBAEA48" w:rsidR="00EF10F5" w:rsidRPr="00271157" w:rsidRDefault="00EF10F5" w:rsidP="00EF10F5">
      <w:pPr>
        <w:rPr>
          <w:rFonts w:asciiTheme="minorHAnsi" w:hAnsiTheme="minorHAnsi"/>
        </w:rPr>
      </w:pPr>
      <w:r w:rsidRPr="00271157">
        <w:rPr>
          <w:rFonts w:asciiTheme="minorHAnsi" w:hAnsiTheme="minorHAnsi"/>
        </w:rPr>
        <w:t xml:space="preserve">Pennsylvania </w:t>
      </w:r>
      <w:r w:rsidR="00943283" w:rsidRPr="00271157">
        <w:rPr>
          <w:rFonts w:asciiTheme="minorHAnsi" w:hAnsiTheme="minorHAnsi"/>
        </w:rPr>
        <w:t xml:space="preserve">will </w:t>
      </w:r>
      <w:r w:rsidR="00014FE5" w:rsidRPr="00271157">
        <w:rPr>
          <w:rFonts w:asciiTheme="minorHAnsi" w:hAnsiTheme="minorHAnsi"/>
        </w:rPr>
        <w:t xml:space="preserve">allow </w:t>
      </w:r>
      <w:r w:rsidRPr="00271157">
        <w:rPr>
          <w:rFonts w:asciiTheme="minorHAnsi" w:hAnsiTheme="minorHAnsi"/>
        </w:rPr>
        <w:t xml:space="preserve">composite rating as </w:t>
      </w:r>
      <w:r w:rsidR="003F0BA3" w:rsidRPr="00271157">
        <w:rPr>
          <w:rFonts w:asciiTheme="minorHAnsi" w:hAnsiTheme="minorHAnsi"/>
        </w:rPr>
        <w:t xml:space="preserve">described in 45 C.F.R. § 147.102(c)(3)(ii). </w:t>
      </w:r>
      <w:r w:rsidR="0043088F" w:rsidRPr="00271157">
        <w:rPr>
          <w:rFonts w:asciiTheme="minorHAnsi" w:hAnsiTheme="minorHAnsi"/>
        </w:rPr>
        <w:t xml:space="preserve">If the issuer plans to use composite rating, indicate this in the narrative. </w:t>
      </w:r>
    </w:p>
    <w:p w14:paraId="36053C2C" w14:textId="77777777" w:rsidR="0074362B" w:rsidRPr="00271157" w:rsidRDefault="0074362B" w:rsidP="000D2C9D">
      <w:pPr>
        <w:pStyle w:val="Heading1"/>
        <w:rPr>
          <w:rFonts w:asciiTheme="minorHAnsi" w:hAnsiTheme="minorHAnsi"/>
        </w:rPr>
      </w:pPr>
      <w:bookmarkStart w:id="232" w:name="_Toc440553982"/>
      <w:bookmarkStart w:id="233" w:name="_Toc440555424"/>
      <w:bookmarkStart w:id="234" w:name="_Toc440555601"/>
      <w:bookmarkStart w:id="235" w:name="_Toc440555665"/>
      <w:bookmarkStart w:id="236" w:name="_Toc474316452"/>
      <w:r w:rsidRPr="00271157">
        <w:rPr>
          <w:rFonts w:asciiTheme="minorHAnsi" w:hAnsiTheme="minorHAnsi"/>
        </w:rPr>
        <w:t xml:space="preserve">Actuarial </w:t>
      </w:r>
      <w:r w:rsidR="00AA16AB" w:rsidRPr="00271157">
        <w:rPr>
          <w:rFonts w:asciiTheme="minorHAnsi" w:hAnsiTheme="minorHAnsi"/>
        </w:rPr>
        <w:t>C</w:t>
      </w:r>
      <w:r w:rsidRPr="00271157">
        <w:rPr>
          <w:rFonts w:asciiTheme="minorHAnsi" w:hAnsiTheme="minorHAnsi"/>
        </w:rPr>
        <w:t>ertifications</w:t>
      </w:r>
      <w:bookmarkEnd w:id="232"/>
      <w:bookmarkEnd w:id="233"/>
      <w:bookmarkEnd w:id="234"/>
      <w:bookmarkEnd w:id="235"/>
      <w:bookmarkEnd w:id="236"/>
    </w:p>
    <w:p w14:paraId="01E225ED" w14:textId="77777777" w:rsidR="0074362B" w:rsidRPr="00271157" w:rsidRDefault="00133D92" w:rsidP="00B47CAC">
      <w:pPr>
        <w:rPr>
          <w:rFonts w:asciiTheme="minorHAnsi" w:hAnsiTheme="minorHAnsi"/>
        </w:rPr>
      </w:pPr>
      <w:r w:rsidRPr="00271157">
        <w:rPr>
          <w:rFonts w:asciiTheme="minorHAnsi" w:hAnsiTheme="minorHAnsi"/>
        </w:rPr>
        <w:t>At a minimum, the actuarial certification must include certifications that:</w:t>
      </w:r>
    </w:p>
    <w:p w14:paraId="5BD5A294" w14:textId="77777777" w:rsidR="004A0DAD" w:rsidRPr="00271157" w:rsidRDefault="004A0DAD" w:rsidP="004A0DAD">
      <w:pPr>
        <w:pStyle w:val="ListParagraph"/>
        <w:numPr>
          <w:ilvl w:val="0"/>
          <w:numId w:val="1"/>
        </w:numPr>
        <w:rPr>
          <w:rFonts w:asciiTheme="minorHAnsi" w:hAnsiTheme="minorHAnsi"/>
        </w:rPr>
      </w:pPr>
      <w:r w:rsidRPr="00271157">
        <w:rPr>
          <w:rFonts w:asciiTheme="minorHAnsi" w:hAnsiTheme="minorHAnsi"/>
        </w:rPr>
        <w:t>All factor, benefit and other changes from the prior approved filing have been disclosed in the actuarial memorandum.</w:t>
      </w:r>
    </w:p>
    <w:p w14:paraId="2DCAEB6D" w14:textId="77777777" w:rsidR="004A0DAD" w:rsidRPr="00271157" w:rsidRDefault="004A0DAD" w:rsidP="004A0DAD">
      <w:pPr>
        <w:pStyle w:val="ListParagraph"/>
        <w:numPr>
          <w:ilvl w:val="0"/>
          <w:numId w:val="1"/>
        </w:numPr>
        <w:rPr>
          <w:rFonts w:asciiTheme="minorHAnsi" w:hAnsiTheme="minorHAnsi"/>
        </w:rPr>
      </w:pPr>
      <w:r w:rsidRPr="00271157">
        <w:rPr>
          <w:rFonts w:asciiTheme="minorHAnsi" w:hAnsiTheme="minorHAnsi"/>
        </w:rPr>
        <w:t>New plans cannot be considered modifications of existing plans under the uniform modification standards in 45 CFR 147.106.</w:t>
      </w:r>
    </w:p>
    <w:p w14:paraId="5DCEC68C" w14:textId="558407E2" w:rsidR="000D2C9D" w:rsidRPr="00271157" w:rsidRDefault="009218B9" w:rsidP="005A7D2D">
      <w:pPr>
        <w:pStyle w:val="ListParagraph"/>
        <w:numPr>
          <w:ilvl w:val="0"/>
          <w:numId w:val="1"/>
        </w:numPr>
        <w:rPr>
          <w:rFonts w:asciiTheme="minorHAnsi" w:hAnsiTheme="minorHAnsi"/>
        </w:rPr>
      </w:pPr>
      <w:r w:rsidRPr="00271157">
        <w:rPr>
          <w:rFonts w:asciiTheme="minorHAnsi" w:hAnsiTheme="minorHAnsi"/>
        </w:rPr>
        <w:t>T</w:t>
      </w:r>
      <w:r w:rsidR="00852C2A" w:rsidRPr="00271157">
        <w:rPr>
          <w:rFonts w:asciiTheme="minorHAnsi" w:hAnsiTheme="minorHAnsi"/>
        </w:rPr>
        <w:t xml:space="preserve">he information presented in the PA Actuarial Memorandum and PA Actuarial Memorandum Rate Exhibits is consistent with the information presented in the 2017 Rate Filing Justification. </w:t>
      </w:r>
    </w:p>
    <w:p w14:paraId="452F51A0" w14:textId="77777777" w:rsidR="00786914" w:rsidRPr="00271157" w:rsidRDefault="00786914" w:rsidP="00786914">
      <w:pPr>
        <w:rPr>
          <w:rFonts w:asciiTheme="minorHAnsi" w:hAnsiTheme="minorHAnsi"/>
        </w:rPr>
      </w:pPr>
    </w:p>
    <w:p w14:paraId="6D28265D" w14:textId="77777777" w:rsidR="00786914" w:rsidRPr="00271157" w:rsidRDefault="00786914" w:rsidP="00786914">
      <w:pPr>
        <w:rPr>
          <w:rFonts w:asciiTheme="minorHAnsi" w:hAnsiTheme="minorHAnsi"/>
        </w:rPr>
      </w:pPr>
    </w:p>
    <w:p w14:paraId="03B890E6" w14:textId="1B9D4073" w:rsidR="008B28AA" w:rsidRPr="00271157" w:rsidRDefault="00E714BE" w:rsidP="000D2C9D">
      <w:pPr>
        <w:pStyle w:val="Title"/>
        <w:rPr>
          <w:rFonts w:asciiTheme="minorHAnsi" w:hAnsiTheme="minorHAnsi"/>
        </w:rPr>
      </w:pPr>
      <w:bookmarkStart w:id="237" w:name="_Toc440553984"/>
      <w:bookmarkStart w:id="238" w:name="_Toc440555426"/>
      <w:bookmarkStart w:id="239" w:name="_Toc440555603"/>
      <w:bookmarkStart w:id="240" w:name="_Toc474316453"/>
      <w:r w:rsidRPr="00271157">
        <w:rPr>
          <w:rFonts w:asciiTheme="minorHAnsi" w:hAnsiTheme="minorHAnsi"/>
        </w:rPr>
        <w:t>Additional Exhibits</w:t>
      </w:r>
      <w:bookmarkEnd w:id="237"/>
      <w:bookmarkEnd w:id="238"/>
      <w:bookmarkEnd w:id="239"/>
      <w:bookmarkEnd w:id="240"/>
    </w:p>
    <w:p w14:paraId="7ABE3339" w14:textId="7E316A8F" w:rsidR="00054EEA" w:rsidRPr="00271157" w:rsidRDefault="00054EEA" w:rsidP="00A63B50">
      <w:pPr>
        <w:pStyle w:val="Heading1"/>
        <w:numPr>
          <w:ilvl w:val="0"/>
          <w:numId w:val="34"/>
        </w:numPr>
        <w:spacing w:before="240"/>
        <w:rPr>
          <w:rFonts w:asciiTheme="minorHAnsi" w:hAnsiTheme="minorHAnsi"/>
        </w:rPr>
      </w:pPr>
      <w:bookmarkStart w:id="241" w:name="_Toc474316454"/>
      <w:r w:rsidRPr="00271157">
        <w:rPr>
          <w:rFonts w:asciiTheme="minorHAnsi" w:hAnsiTheme="minorHAnsi"/>
        </w:rPr>
        <w:t>Department Plan Design Summary</w:t>
      </w:r>
      <w:bookmarkEnd w:id="241"/>
    </w:p>
    <w:p w14:paraId="183945B0" w14:textId="63E5CDDF" w:rsidR="007D737A" w:rsidRPr="00271157" w:rsidRDefault="008B28AA" w:rsidP="00B47CAC">
      <w:pPr>
        <w:rPr>
          <w:rFonts w:asciiTheme="minorHAnsi" w:hAnsiTheme="minorHAnsi"/>
        </w:rPr>
      </w:pPr>
      <w:r w:rsidRPr="00271157">
        <w:rPr>
          <w:rFonts w:asciiTheme="minorHAnsi" w:hAnsiTheme="minorHAnsi"/>
        </w:rPr>
        <w:t xml:space="preserve">Submit </w:t>
      </w:r>
      <w:r w:rsidR="00CE2B99" w:rsidRPr="00271157">
        <w:rPr>
          <w:rFonts w:asciiTheme="minorHAnsi" w:hAnsiTheme="minorHAnsi"/>
        </w:rPr>
        <w:t xml:space="preserve">the Department Plan Design Summary </w:t>
      </w:r>
      <w:r w:rsidRPr="00271157">
        <w:rPr>
          <w:rFonts w:asciiTheme="minorHAnsi" w:hAnsiTheme="minorHAnsi"/>
        </w:rPr>
        <w:t xml:space="preserve">in Excel </w:t>
      </w:r>
      <w:r w:rsidR="00CE2B99" w:rsidRPr="00271157">
        <w:rPr>
          <w:rFonts w:asciiTheme="minorHAnsi" w:hAnsiTheme="minorHAnsi"/>
        </w:rPr>
        <w:t>in the Rate/Rule Schedule Tab in SERF</w:t>
      </w:r>
      <w:r w:rsidRPr="00271157">
        <w:rPr>
          <w:rFonts w:asciiTheme="minorHAnsi" w:hAnsiTheme="minorHAnsi"/>
        </w:rPr>
        <w:t>.</w:t>
      </w:r>
      <w:r w:rsidR="00AA1418" w:rsidRPr="00271157">
        <w:rPr>
          <w:rFonts w:asciiTheme="minorHAnsi" w:hAnsiTheme="minorHAnsi"/>
        </w:rPr>
        <w:t xml:space="preserve"> </w:t>
      </w:r>
      <w:r w:rsidR="007D737A" w:rsidRPr="00271157">
        <w:rPr>
          <w:rFonts w:asciiTheme="minorHAnsi" w:hAnsiTheme="minorHAnsi"/>
        </w:rPr>
        <w:t xml:space="preserve">Please note the change in the Plan Design Summary which now requires issuers to show counties where plans are offered instead of counties where plans are not offered.  </w:t>
      </w:r>
    </w:p>
    <w:p w14:paraId="5E2F9EA3" w14:textId="694A6745" w:rsidR="00054EEA" w:rsidRPr="00271157" w:rsidRDefault="00054EEA" w:rsidP="00A63B50">
      <w:pPr>
        <w:pStyle w:val="Heading1"/>
        <w:numPr>
          <w:ilvl w:val="0"/>
          <w:numId w:val="34"/>
        </w:numPr>
        <w:spacing w:before="240"/>
        <w:rPr>
          <w:rFonts w:asciiTheme="minorHAnsi" w:hAnsiTheme="minorHAnsi"/>
        </w:rPr>
      </w:pPr>
      <w:bookmarkStart w:id="242" w:name="_Toc474316455"/>
      <w:r w:rsidRPr="00271157">
        <w:rPr>
          <w:rFonts w:asciiTheme="minorHAnsi" w:hAnsiTheme="minorHAnsi"/>
        </w:rPr>
        <w:t>Service Area Map</w:t>
      </w:r>
      <w:bookmarkEnd w:id="242"/>
    </w:p>
    <w:p w14:paraId="68332576" w14:textId="034F135C" w:rsidR="002111D5" w:rsidRDefault="00054EEA" w:rsidP="00B47CAC">
      <w:pPr>
        <w:rPr>
          <w:rFonts w:asciiTheme="minorHAnsi" w:hAnsiTheme="minorHAnsi"/>
        </w:rPr>
      </w:pPr>
      <w:r w:rsidRPr="00271157">
        <w:rPr>
          <w:rFonts w:asciiTheme="minorHAnsi" w:hAnsiTheme="minorHAnsi"/>
        </w:rPr>
        <w:t>Submit a map of the current 2017 service area and the proposed 2018 service area. Distinguish, if appropriate, between on-exchange and off-exchange service area by using a solid color to indicate the off-exchange service area and a pattern overlay to indicate the on-exchange service area. If necessary, the 2017 and the 2018 service areas may be depicted on different</w:t>
      </w:r>
      <w:r>
        <w:rPr>
          <w:rFonts w:asciiTheme="minorHAnsi" w:hAnsiTheme="minorHAnsi"/>
        </w:rPr>
        <w:t xml:space="preserve"> maps. The Department has provided a template in a </w:t>
      </w:r>
      <w:r w:rsidR="007450AE">
        <w:rPr>
          <w:rFonts w:asciiTheme="minorHAnsi" w:hAnsiTheme="minorHAnsi"/>
        </w:rPr>
        <w:t>P</w:t>
      </w:r>
      <w:r>
        <w:rPr>
          <w:rFonts w:asciiTheme="minorHAnsi" w:hAnsiTheme="minorHAnsi"/>
        </w:rPr>
        <w:t>ower</w:t>
      </w:r>
      <w:r w:rsidR="007450AE">
        <w:rPr>
          <w:rFonts w:asciiTheme="minorHAnsi" w:hAnsiTheme="minorHAnsi"/>
        </w:rPr>
        <w:t>P</w:t>
      </w:r>
      <w:r>
        <w:rPr>
          <w:rFonts w:asciiTheme="minorHAnsi" w:hAnsiTheme="minorHAnsi"/>
        </w:rPr>
        <w:t xml:space="preserve">oint slide that </w:t>
      </w:r>
      <w:r w:rsidRPr="007450AE">
        <w:rPr>
          <w:rFonts w:asciiTheme="minorHAnsi" w:hAnsiTheme="minorHAnsi"/>
        </w:rPr>
        <w:t xml:space="preserve">issuers may use to submit this information (right click on a county and select “fill” to change the color; select </w:t>
      </w:r>
      <w:r w:rsidR="00EA2441" w:rsidRPr="007450AE">
        <w:rPr>
          <w:rFonts w:asciiTheme="minorHAnsi" w:hAnsiTheme="minorHAnsi"/>
        </w:rPr>
        <w:t>“format shape/pattern fill</w:t>
      </w:r>
      <w:r w:rsidRPr="007450AE">
        <w:rPr>
          <w:rFonts w:asciiTheme="minorHAnsi" w:hAnsiTheme="minorHAnsi"/>
        </w:rPr>
        <w:t>” to add a pattern overlay), but issuers are also welcome to use their own software to generate the map(s).</w:t>
      </w:r>
      <w:r>
        <w:rPr>
          <w:rFonts w:asciiTheme="minorHAnsi" w:hAnsiTheme="minorHAnsi"/>
        </w:rPr>
        <w:t xml:space="preserve"> </w:t>
      </w:r>
    </w:p>
    <w:p w14:paraId="32FEEF45" w14:textId="77777777" w:rsidR="002111D5" w:rsidRDefault="002111D5">
      <w:pPr>
        <w:rPr>
          <w:rFonts w:asciiTheme="minorHAnsi" w:hAnsiTheme="minorHAnsi"/>
        </w:rPr>
        <w:sectPr w:rsidR="002111D5" w:rsidSect="00CE2B99">
          <w:type w:val="continuous"/>
          <w:pgSz w:w="12240" w:h="15840"/>
          <w:pgMar w:top="1440" w:right="1080" w:bottom="1440" w:left="1080" w:header="720" w:footer="720" w:gutter="0"/>
          <w:pgNumType w:start="5"/>
          <w:cols w:space="720"/>
          <w:titlePg/>
          <w:docGrid w:linePitch="326"/>
        </w:sectPr>
      </w:pPr>
    </w:p>
    <w:p w14:paraId="4C6D5206" w14:textId="11A87A4B" w:rsidR="002111D5" w:rsidRPr="00271157" w:rsidRDefault="002111D5" w:rsidP="00D6470D">
      <w:pPr>
        <w:pStyle w:val="Title"/>
        <w:numPr>
          <w:ilvl w:val="0"/>
          <w:numId w:val="0"/>
        </w:numPr>
        <w:ind w:left="360" w:hanging="360"/>
        <w:jc w:val="center"/>
        <w:rPr>
          <w:rFonts w:asciiTheme="minorHAnsi" w:hAnsiTheme="minorHAnsi"/>
          <w:color w:val="FF0000"/>
          <w:sz w:val="32"/>
        </w:rPr>
      </w:pPr>
      <w:bookmarkStart w:id="243" w:name="_Toc440553986"/>
      <w:bookmarkStart w:id="244" w:name="_Toc440554241"/>
      <w:bookmarkStart w:id="245" w:name="_Toc440555428"/>
      <w:bookmarkStart w:id="246" w:name="_Toc440555605"/>
      <w:bookmarkStart w:id="247" w:name="_Toc440555667"/>
      <w:bookmarkStart w:id="248" w:name="_Toc440557522"/>
      <w:bookmarkStart w:id="249" w:name="_Toc440633001"/>
      <w:bookmarkStart w:id="250" w:name="_Toc445123733"/>
      <w:bookmarkStart w:id="251" w:name="_Toc474316456"/>
      <w:r w:rsidRPr="00271157">
        <w:rPr>
          <w:rFonts w:asciiTheme="minorHAnsi" w:hAnsiTheme="minorHAnsi"/>
          <w:color w:val="FF0000"/>
          <w:sz w:val="32"/>
        </w:rPr>
        <w:lastRenderedPageBreak/>
        <w:t>Attachment 1</w:t>
      </w:r>
      <w:r w:rsidR="00A805CD" w:rsidRPr="00271157">
        <w:rPr>
          <w:rFonts w:asciiTheme="minorHAnsi" w:hAnsiTheme="minorHAnsi"/>
          <w:color w:val="FF0000"/>
          <w:sz w:val="32"/>
        </w:rPr>
        <w:t>: Rate Change Request Summary</w:t>
      </w:r>
      <w:bookmarkEnd w:id="251"/>
    </w:p>
    <w:p w14:paraId="60C3E40C" w14:textId="77777777" w:rsidR="002111D5" w:rsidRPr="002111D5" w:rsidRDefault="002111D5" w:rsidP="002111D5">
      <w:pPr>
        <w:keepNext/>
        <w:keepLines/>
        <w:spacing w:before="120"/>
        <w:ind w:left="360" w:hanging="360"/>
        <w:outlineLvl w:val="0"/>
        <w:rPr>
          <w:rFonts w:ascii="Calibri" w:eastAsia="MS Gothic" w:hAnsi="Calibri"/>
          <w:b/>
          <w:bCs/>
          <w:color w:val="548DD4"/>
          <w:sz w:val="32"/>
          <w:szCs w:val="28"/>
        </w:rPr>
      </w:pPr>
      <w:r w:rsidRPr="002111D5">
        <w:rPr>
          <w:rFonts w:ascii="Calibri" w:eastAsia="MS Gothic" w:hAnsi="Calibri"/>
          <w:b/>
          <w:bCs/>
          <w:color w:val="548DD4"/>
          <w:sz w:val="32"/>
          <w:szCs w:val="28"/>
        </w:rPr>
        <w:t>[Issuer Name] – [Individual/Small Group] Plans</w:t>
      </w:r>
      <w:bookmarkEnd w:id="243"/>
      <w:bookmarkEnd w:id="244"/>
      <w:bookmarkEnd w:id="245"/>
      <w:bookmarkEnd w:id="246"/>
      <w:bookmarkEnd w:id="247"/>
      <w:bookmarkEnd w:id="248"/>
      <w:bookmarkEnd w:id="249"/>
      <w:bookmarkEnd w:id="250"/>
    </w:p>
    <w:p w14:paraId="561093D3" w14:textId="77777777" w:rsidR="002111D5" w:rsidRPr="002111D5" w:rsidRDefault="002111D5" w:rsidP="002111D5">
      <w:pPr>
        <w:rPr>
          <w:rFonts w:ascii="Calibri" w:hAnsi="Calibri"/>
          <w:color w:val="808080"/>
          <w:sz w:val="20"/>
        </w:rPr>
      </w:pPr>
      <w:r w:rsidRPr="002111D5">
        <w:rPr>
          <w:rFonts w:ascii="Calibri" w:hAnsi="Calibri"/>
          <w:color w:val="808080"/>
          <w:sz w:val="20"/>
        </w:rPr>
        <w:t>Rate request filing ID # XXXXX - This document is prepared by the insurance company submitting the rate filing as a consumer tool to help explain the rate filing. It is not intended to describe or include all factors or information considered in the review process. For more information, see the filing at http://www.insurance.pa.gov/Consumers/ACARelatedFilings/</w:t>
      </w:r>
    </w:p>
    <w:p w14:paraId="5503DBF8" w14:textId="77777777" w:rsidR="002111D5" w:rsidRPr="002111D5" w:rsidRDefault="002111D5" w:rsidP="002111D5">
      <w:pPr>
        <w:keepNext/>
        <w:keepLines/>
        <w:spacing w:before="360" w:after="120"/>
        <w:ind w:left="360" w:hanging="360"/>
        <w:outlineLvl w:val="1"/>
        <w:rPr>
          <w:rFonts w:ascii="Calibri" w:eastAsia="MS Gothic" w:hAnsi="Calibri"/>
          <w:b/>
          <w:color w:val="548DD4"/>
          <w:sz w:val="26"/>
          <w:szCs w:val="26"/>
        </w:rPr>
      </w:pPr>
      <w:bookmarkStart w:id="252" w:name="_Toc440553987"/>
      <w:bookmarkStart w:id="253" w:name="_Toc440554242"/>
      <w:bookmarkStart w:id="254" w:name="_Toc440555429"/>
      <w:bookmarkStart w:id="255" w:name="_Toc440555606"/>
      <w:bookmarkStart w:id="256" w:name="_Toc440555668"/>
      <w:bookmarkStart w:id="257" w:name="_Toc440557523"/>
      <w:bookmarkStart w:id="258" w:name="_Toc440633002"/>
      <w:bookmarkStart w:id="259" w:name="_Toc445123734"/>
      <w:r w:rsidRPr="002111D5">
        <w:rPr>
          <w:rFonts w:ascii="Calibri" w:eastAsia="MS Gothic" w:hAnsi="Calibri"/>
          <w:b/>
          <w:color w:val="548DD4"/>
          <w:sz w:val="26"/>
          <w:szCs w:val="26"/>
        </w:rPr>
        <w:t>Overview</w:t>
      </w:r>
      <w:bookmarkEnd w:id="252"/>
      <w:bookmarkEnd w:id="253"/>
      <w:bookmarkEnd w:id="254"/>
      <w:bookmarkEnd w:id="255"/>
      <w:bookmarkEnd w:id="256"/>
      <w:bookmarkEnd w:id="257"/>
      <w:bookmarkEnd w:id="258"/>
      <w:bookmarkEnd w:id="259"/>
    </w:p>
    <w:p w14:paraId="101A9C87" w14:textId="06C6CD68" w:rsidR="002111D5" w:rsidRPr="002111D5" w:rsidRDefault="002111D5" w:rsidP="002111D5">
      <w:pPr>
        <w:autoSpaceDE w:val="0"/>
        <w:autoSpaceDN w:val="0"/>
        <w:rPr>
          <w:rFonts w:ascii="Calibri" w:eastAsia="Calibri" w:hAnsi="Calibri"/>
          <w:i/>
          <w:szCs w:val="22"/>
        </w:rPr>
      </w:pPr>
      <w:r w:rsidRPr="002111D5">
        <w:rPr>
          <w:rFonts w:ascii="Calibri" w:eastAsia="Calibri" w:hAnsi="Calibri"/>
          <w:szCs w:val="22"/>
        </w:rPr>
        <w:t xml:space="preserve">Initial requested average rate change: </w:t>
      </w:r>
      <w:r w:rsidRPr="002111D5">
        <w:rPr>
          <w:rFonts w:ascii="Calibri" w:eastAsia="Calibri" w:hAnsi="Calibri"/>
          <w:szCs w:val="22"/>
        </w:rPr>
        <w:tab/>
      </w:r>
      <w:r w:rsidR="00EE3A00">
        <w:rPr>
          <w:rFonts w:ascii="Calibri" w:eastAsia="Calibri" w:hAnsi="Calibri"/>
          <w:szCs w:val="22"/>
        </w:rPr>
        <w:tab/>
      </w:r>
      <w:r w:rsidRPr="002111D5">
        <w:rPr>
          <w:rFonts w:ascii="Calibri" w:eastAsia="Calibri" w:hAnsi="Calibri"/>
          <w:szCs w:val="22"/>
        </w:rPr>
        <w:t>XX%</w:t>
      </w:r>
      <w:r w:rsidRPr="002111D5">
        <w:rPr>
          <w:rFonts w:ascii="Calibri" w:eastAsia="Calibri" w:hAnsi="Calibri"/>
          <w:szCs w:val="22"/>
          <w:vertAlign w:val="superscript"/>
        </w:rPr>
        <w:footnoteReference w:id="1"/>
      </w:r>
      <w:r w:rsidRPr="002111D5">
        <w:rPr>
          <w:rFonts w:ascii="Calibri" w:eastAsia="Calibri" w:hAnsi="Calibri"/>
          <w:szCs w:val="22"/>
        </w:rPr>
        <w:t xml:space="preserve"> </w:t>
      </w:r>
      <w:r w:rsidRPr="002111D5">
        <w:rPr>
          <w:rFonts w:ascii="Calibri" w:eastAsia="Calibri" w:hAnsi="Calibri"/>
          <w:i/>
          <w:color w:val="FF0000"/>
          <w:sz w:val="20"/>
          <w:szCs w:val="22"/>
        </w:rPr>
        <w:t>[Should be consistent with table 10]</w:t>
      </w:r>
    </w:p>
    <w:p w14:paraId="55EBF442" w14:textId="2F0B1CAA" w:rsidR="00EE3A00" w:rsidRDefault="00EE3A00" w:rsidP="002111D5">
      <w:pPr>
        <w:autoSpaceDE w:val="0"/>
        <w:autoSpaceDN w:val="0"/>
        <w:rPr>
          <w:rFonts w:ascii="Calibri" w:eastAsia="Calibri" w:hAnsi="Calibri"/>
          <w:bCs/>
          <w:szCs w:val="22"/>
        </w:rPr>
      </w:pPr>
      <w:r>
        <w:rPr>
          <w:rFonts w:ascii="Calibri" w:eastAsia="Calibri" w:hAnsi="Calibri"/>
          <w:bCs/>
          <w:szCs w:val="22"/>
        </w:rPr>
        <w:t>Revised requested average rate change:</w:t>
      </w:r>
      <w:r>
        <w:rPr>
          <w:rFonts w:ascii="Calibri" w:eastAsia="Calibri" w:hAnsi="Calibri"/>
          <w:bCs/>
          <w:szCs w:val="22"/>
        </w:rPr>
        <w:tab/>
      </w:r>
      <w:r>
        <w:rPr>
          <w:rFonts w:ascii="Calibri" w:eastAsia="Calibri" w:hAnsi="Calibri"/>
          <w:bCs/>
          <w:szCs w:val="22"/>
        </w:rPr>
        <w:tab/>
        <w:t>N/A</w:t>
      </w:r>
      <w:r w:rsidRPr="00EE3A00">
        <w:rPr>
          <w:rFonts w:ascii="Calibri" w:eastAsia="Calibri" w:hAnsi="Calibri"/>
          <w:bCs/>
          <w:szCs w:val="22"/>
          <w:vertAlign w:val="superscript"/>
        </w:rPr>
        <w:t>1</w:t>
      </w:r>
    </w:p>
    <w:p w14:paraId="67F39BF1" w14:textId="13C2B3CD" w:rsidR="002111D5" w:rsidRPr="002111D5" w:rsidRDefault="002111D5" w:rsidP="002111D5">
      <w:pPr>
        <w:autoSpaceDE w:val="0"/>
        <w:autoSpaceDN w:val="0"/>
        <w:rPr>
          <w:rFonts w:ascii="Calibri" w:eastAsia="Calibri" w:hAnsi="Calibri"/>
          <w:bCs/>
          <w:szCs w:val="22"/>
        </w:rPr>
      </w:pPr>
      <w:r w:rsidRPr="002111D5">
        <w:rPr>
          <w:rFonts w:ascii="Calibri" w:eastAsia="Calibri" w:hAnsi="Calibri"/>
          <w:bCs/>
          <w:szCs w:val="22"/>
        </w:rPr>
        <w:t xml:space="preserve">Range of requested rate change: </w:t>
      </w:r>
      <w:r w:rsidRPr="002111D5">
        <w:rPr>
          <w:rFonts w:ascii="Calibri" w:eastAsia="Calibri" w:hAnsi="Calibri"/>
          <w:bCs/>
          <w:szCs w:val="22"/>
        </w:rPr>
        <w:tab/>
      </w:r>
      <w:r w:rsidR="00EE3A00">
        <w:rPr>
          <w:rFonts w:ascii="Calibri" w:eastAsia="Calibri" w:hAnsi="Calibri"/>
          <w:bCs/>
          <w:szCs w:val="22"/>
        </w:rPr>
        <w:tab/>
      </w:r>
      <w:r w:rsidRPr="002111D5">
        <w:rPr>
          <w:rFonts w:ascii="Calibri" w:eastAsia="Calibri" w:hAnsi="Calibri"/>
          <w:bCs/>
          <w:szCs w:val="22"/>
        </w:rPr>
        <w:t xml:space="preserve">XX% </w:t>
      </w:r>
      <w:r w:rsidRPr="002111D5">
        <w:rPr>
          <w:rFonts w:ascii="Calibri" w:eastAsia="Calibri" w:hAnsi="Calibri"/>
          <w:i/>
          <w:color w:val="FF0000"/>
          <w:sz w:val="20"/>
          <w:szCs w:val="22"/>
        </w:rPr>
        <w:t>[Should be consistent with table 10]</w:t>
      </w:r>
    </w:p>
    <w:p w14:paraId="07B24F89" w14:textId="2F78689C" w:rsidR="002111D5" w:rsidRPr="002111D5" w:rsidRDefault="002111D5" w:rsidP="002111D5">
      <w:pPr>
        <w:autoSpaceDE w:val="0"/>
        <w:autoSpaceDN w:val="0"/>
        <w:rPr>
          <w:rFonts w:ascii="Calibri" w:eastAsia="Calibri" w:hAnsi="Calibri"/>
          <w:szCs w:val="22"/>
        </w:rPr>
      </w:pPr>
      <w:r w:rsidRPr="002111D5">
        <w:rPr>
          <w:rFonts w:ascii="Calibri" w:eastAsia="Calibri" w:hAnsi="Calibri"/>
          <w:bCs/>
          <w:szCs w:val="22"/>
        </w:rPr>
        <w:t xml:space="preserve">Effective date: </w:t>
      </w:r>
      <w:r w:rsidRPr="002111D5">
        <w:rPr>
          <w:rFonts w:ascii="Calibri" w:eastAsia="Calibri" w:hAnsi="Calibri"/>
          <w:bCs/>
          <w:szCs w:val="22"/>
        </w:rPr>
        <w:tab/>
      </w:r>
      <w:r w:rsidRPr="002111D5">
        <w:rPr>
          <w:rFonts w:ascii="Calibri" w:eastAsia="Calibri" w:hAnsi="Calibri"/>
          <w:bCs/>
          <w:szCs w:val="22"/>
        </w:rPr>
        <w:tab/>
      </w:r>
      <w:r w:rsidRPr="002111D5">
        <w:rPr>
          <w:rFonts w:ascii="Calibri" w:eastAsia="Calibri" w:hAnsi="Calibri"/>
          <w:bCs/>
          <w:szCs w:val="22"/>
        </w:rPr>
        <w:tab/>
      </w:r>
      <w:r w:rsidRPr="002111D5">
        <w:rPr>
          <w:rFonts w:ascii="Calibri" w:eastAsia="Calibri" w:hAnsi="Calibri"/>
          <w:bCs/>
          <w:szCs w:val="22"/>
        </w:rPr>
        <w:tab/>
      </w:r>
      <w:r w:rsidR="00EE3A00">
        <w:rPr>
          <w:rFonts w:ascii="Calibri" w:eastAsia="Calibri" w:hAnsi="Calibri"/>
          <w:bCs/>
          <w:szCs w:val="22"/>
        </w:rPr>
        <w:tab/>
      </w:r>
      <w:r w:rsidRPr="002111D5">
        <w:rPr>
          <w:rFonts w:ascii="Calibri" w:eastAsia="Calibri" w:hAnsi="Calibri"/>
          <w:bCs/>
          <w:szCs w:val="22"/>
        </w:rPr>
        <w:t>[Insert date]</w:t>
      </w:r>
      <w:r w:rsidRPr="002111D5">
        <w:rPr>
          <w:rFonts w:ascii="Calibri" w:eastAsia="Calibri" w:hAnsi="Calibri"/>
          <w:szCs w:val="22"/>
        </w:rPr>
        <w:t xml:space="preserve"> </w:t>
      </w:r>
    </w:p>
    <w:p w14:paraId="5EA1EC38" w14:textId="3C6002C8" w:rsidR="002111D5" w:rsidRPr="002111D5" w:rsidRDefault="002111D5" w:rsidP="002111D5">
      <w:pPr>
        <w:autoSpaceDE w:val="0"/>
        <w:autoSpaceDN w:val="0"/>
        <w:rPr>
          <w:rFonts w:ascii="Calibri" w:eastAsia="Calibri" w:hAnsi="Calibri"/>
          <w:szCs w:val="22"/>
        </w:rPr>
      </w:pPr>
      <w:r w:rsidRPr="002111D5">
        <w:rPr>
          <w:rFonts w:ascii="Calibri" w:eastAsia="Calibri" w:hAnsi="Calibri"/>
          <w:szCs w:val="22"/>
        </w:rPr>
        <w:t xml:space="preserve">People impacted: </w:t>
      </w:r>
      <w:r w:rsidRPr="002111D5">
        <w:rPr>
          <w:rFonts w:ascii="Calibri" w:eastAsia="Calibri" w:hAnsi="Calibri"/>
          <w:szCs w:val="22"/>
        </w:rPr>
        <w:tab/>
      </w:r>
      <w:r w:rsidRPr="002111D5">
        <w:rPr>
          <w:rFonts w:ascii="Calibri" w:eastAsia="Calibri" w:hAnsi="Calibri"/>
          <w:szCs w:val="22"/>
        </w:rPr>
        <w:tab/>
      </w:r>
      <w:r w:rsidRPr="002111D5">
        <w:rPr>
          <w:rFonts w:ascii="Calibri" w:eastAsia="Calibri" w:hAnsi="Calibri"/>
          <w:szCs w:val="22"/>
        </w:rPr>
        <w:tab/>
      </w:r>
      <w:r w:rsidR="00EE3A00">
        <w:rPr>
          <w:rFonts w:ascii="Calibri" w:eastAsia="Calibri" w:hAnsi="Calibri"/>
          <w:szCs w:val="22"/>
        </w:rPr>
        <w:tab/>
      </w:r>
      <w:r w:rsidRPr="002111D5">
        <w:rPr>
          <w:rFonts w:ascii="Calibri" w:eastAsia="Calibri" w:hAnsi="Calibri"/>
          <w:bCs/>
          <w:szCs w:val="22"/>
        </w:rPr>
        <w:t>[Insert covered lives]</w:t>
      </w:r>
      <w:r w:rsidRPr="002111D5">
        <w:rPr>
          <w:rFonts w:ascii="Calibri" w:eastAsia="Calibri" w:hAnsi="Calibri"/>
          <w:szCs w:val="22"/>
        </w:rPr>
        <w:t xml:space="preserve"> </w:t>
      </w:r>
      <w:r w:rsidRPr="002111D5">
        <w:rPr>
          <w:rFonts w:ascii="Calibri" w:eastAsia="Calibri" w:hAnsi="Calibri"/>
          <w:i/>
          <w:color w:val="FF0000"/>
          <w:szCs w:val="22"/>
        </w:rPr>
        <w:t>[</w:t>
      </w:r>
      <w:r w:rsidRPr="002111D5">
        <w:rPr>
          <w:rFonts w:ascii="Calibri" w:eastAsia="Calibri" w:hAnsi="Calibri"/>
          <w:i/>
          <w:color w:val="FF0000"/>
          <w:sz w:val="20"/>
          <w:szCs w:val="22"/>
        </w:rPr>
        <w:t>Should be consistent with membership in table 1]</w:t>
      </w:r>
    </w:p>
    <w:p w14:paraId="04F01C0E" w14:textId="189C1FC2" w:rsidR="002111D5" w:rsidRPr="002111D5" w:rsidRDefault="002111D5" w:rsidP="002111D5">
      <w:pPr>
        <w:rPr>
          <w:rFonts w:ascii="Calibri" w:hAnsi="Calibri"/>
        </w:rPr>
      </w:pPr>
      <w:r w:rsidRPr="002111D5">
        <w:rPr>
          <w:rFonts w:ascii="Calibri" w:hAnsi="Calibri"/>
        </w:rPr>
        <w:t>Available in:</w:t>
      </w:r>
      <w:r w:rsidRPr="002111D5">
        <w:rPr>
          <w:rFonts w:ascii="Calibri" w:hAnsi="Calibri"/>
        </w:rPr>
        <w:tab/>
      </w:r>
      <w:r w:rsidRPr="002111D5">
        <w:rPr>
          <w:rFonts w:ascii="Calibri" w:hAnsi="Calibri"/>
        </w:rPr>
        <w:tab/>
      </w:r>
      <w:r w:rsidRPr="002111D5">
        <w:rPr>
          <w:rFonts w:ascii="Calibri" w:hAnsi="Calibri"/>
        </w:rPr>
        <w:tab/>
      </w:r>
      <w:r w:rsidRPr="002111D5">
        <w:rPr>
          <w:rFonts w:ascii="Calibri" w:hAnsi="Calibri"/>
        </w:rPr>
        <w:tab/>
      </w:r>
      <w:r w:rsidR="00EE3A00">
        <w:rPr>
          <w:rFonts w:ascii="Calibri" w:hAnsi="Calibri"/>
        </w:rPr>
        <w:tab/>
      </w:r>
      <w:r w:rsidRPr="002111D5">
        <w:rPr>
          <w:rFonts w:ascii="Calibri" w:hAnsi="Calibri"/>
        </w:rPr>
        <w:t xml:space="preserve">[List rating areas] </w:t>
      </w:r>
    </w:p>
    <w:p w14:paraId="0A70F44B" w14:textId="77777777" w:rsidR="002111D5" w:rsidRPr="002111D5" w:rsidRDefault="002111D5" w:rsidP="002111D5">
      <w:pPr>
        <w:rPr>
          <w:rFonts w:ascii="Calibri" w:eastAsia="MS Gothic" w:hAnsi="Calibri"/>
          <w:b/>
          <w:bCs/>
          <w:sz w:val="26"/>
          <w:szCs w:val="26"/>
        </w:rPr>
      </w:pPr>
    </w:p>
    <w:p w14:paraId="2A58A55C" w14:textId="77777777" w:rsidR="002111D5" w:rsidRPr="002111D5" w:rsidRDefault="002111D5" w:rsidP="002111D5">
      <w:pPr>
        <w:rPr>
          <w:rFonts w:ascii="Calibri" w:hAnsi="Calibri"/>
          <w:b/>
          <w:bCs/>
          <w:szCs w:val="16"/>
        </w:rPr>
      </w:pPr>
      <w:r w:rsidRPr="002111D5">
        <w:rPr>
          <w:rFonts w:ascii="Calibri" w:hAnsi="Calibri"/>
          <w:noProof/>
          <w:color w:val="548DD4"/>
        </w:rPr>
        <mc:AlternateContent>
          <mc:Choice Requires="wps">
            <w:drawing>
              <wp:anchor distT="0" distB="0" distL="114300" distR="114300" simplePos="0" relativeHeight="251670528" behindDoc="0" locked="0" layoutInCell="1" allowOverlap="1" wp14:anchorId="168F7C80" wp14:editId="19A801B0">
                <wp:simplePos x="0" y="0"/>
                <wp:positionH relativeFrom="column">
                  <wp:posOffset>3781425</wp:posOffset>
                </wp:positionH>
                <wp:positionV relativeFrom="paragraph">
                  <wp:posOffset>295276</wp:posOffset>
                </wp:positionV>
                <wp:extent cx="2374265" cy="1333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33500"/>
                        </a:xfrm>
                        <a:prstGeom prst="rect">
                          <a:avLst/>
                        </a:prstGeom>
                        <a:solidFill>
                          <a:srgbClr val="1F497D">
                            <a:lumMod val="20000"/>
                            <a:lumOff val="80000"/>
                          </a:srgbClr>
                        </a:solidFill>
                        <a:ln w="9525">
                          <a:solidFill>
                            <a:srgbClr val="1F497D">
                              <a:lumMod val="60000"/>
                              <a:lumOff val="40000"/>
                            </a:srgbClr>
                          </a:solidFill>
                          <a:miter lim="800000"/>
                          <a:headEnd/>
                          <a:tailEnd/>
                        </a:ln>
                      </wps:spPr>
                      <wps:txbx>
                        <w:txbxContent>
                          <w:p w14:paraId="15946FC4" w14:textId="77777777" w:rsidR="005A7D2D" w:rsidRPr="00341937" w:rsidRDefault="005A7D2D" w:rsidP="002111D5">
                            <w:pPr>
                              <w:pStyle w:val="Default"/>
                              <w:rPr>
                                <w:rFonts w:ascii="Calibri" w:hAnsi="Calibri"/>
                                <w:b/>
                                <w:szCs w:val="22"/>
                              </w:rPr>
                            </w:pPr>
                            <w:r w:rsidRPr="00341937">
                              <w:rPr>
                                <w:rFonts w:ascii="Calibri" w:hAnsi="Calibri"/>
                                <w:b/>
                                <w:szCs w:val="22"/>
                              </w:rPr>
                              <w:t>How it plans to spend your premium</w:t>
                            </w:r>
                          </w:p>
                          <w:p w14:paraId="7A906C0B" w14:textId="77777777" w:rsidR="005A7D2D" w:rsidRPr="00341937" w:rsidRDefault="005A7D2D" w:rsidP="002111D5">
                            <w:pPr>
                              <w:pStyle w:val="Default"/>
                              <w:rPr>
                                <w:rFonts w:ascii="Calibri" w:hAnsi="Calibri"/>
                                <w:szCs w:val="22"/>
                              </w:rPr>
                            </w:pPr>
                            <w:r w:rsidRPr="00341937">
                              <w:rPr>
                                <w:rFonts w:ascii="Calibri" w:hAnsi="Calibri"/>
                                <w:szCs w:val="22"/>
                              </w:rPr>
                              <w:t xml:space="preserve">This is how the insurance company plans to spend the premium it collects in 2017: </w:t>
                            </w:r>
                          </w:p>
                          <w:p w14:paraId="118DEAE5" w14:textId="77777777" w:rsidR="005A7D2D" w:rsidRPr="00341937" w:rsidRDefault="005A7D2D" w:rsidP="002111D5">
                            <w:pPr>
                              <w:spacing w:before="120"/>
                              <w:rPr>
                                <w:rFonts w:ascii="Calibri" w:hAnsi="Calibri"/>
                                <w:b/>
                                <w:bCs/>
                                <w:szCs w:val="22"/>
                              </w:rPr>
                            </w:pPr>
                            <w:r w:rsidRPr="00341937">
                              <w:rPr>
                                <w:rFonts w:ascii="Calibri" w:hAnsi="Calibri"/>
                                <w:szCs w:val="22"/>
                              </w:rPr>
                              <w:t xml:space="preserve">Claims: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 xml:space="preserve">% </w:t>
                            </w:r>
                            <w:r w:rsidRPr="00341937">
                              <w:rPr>
                                <w:rFonts w:ascii="Calibri" w:hAnsi="Calibri"/>
                                <w:b/>
                                <w:bCs/>
                                <w:szCs w:val="22"/>
                              </w:rPr>
                              <w:br/>
                            </w:r>
                            <w:r w:rsidRPr="00341937">
                              <w:rPr>
                                <w:rFonts w:ascii="Calibri" w:hAnsi="Calibri"/>
                                <w:szCs w:val="22"/>
                              </w:rPr>
                              <w:t xml:space="preserve">Administrative: </w:t>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r w:rsidRPr="00341937">
                              <w:rPr>
                                <w:rFonts w:ascii="Calibri" w:hAnsi="Calibri"/>
                                <w:b/>
                                <w:bCs/>
                                <w:szCs w:val="22"/>
                              </w:rPr>
                              <w:br/>
                            </w:r>
                            <w:r w:rsidRPr="00341937">
                              <w:rPr>
                                <w:rFonts w:ascii="Calibri" w:hAnsi="Calibri"/>
                                <w:bCs/>
                                <w:szCs w:val="22"/>
                              </w:rPr>
                              <w:t>Taxes &amp; fees:</w:t>
                            </w:r>
                            <w:r w:rsidRPr="00341937">
                              <w:rPr>
                                <w:rFonts w:ascii="Calibri" w:hAnsi="Calibri"/>
                                <w:b/>
                                <w:bCs/>
                                <w:szCs w:val="22"/>
                              </w:rPr>
                              <w:t xml:space="preserve"> </w:t>
                            </w:r>
                            <w:r w:rsidRPr="00341937">
                              <w:rPr>
                                <w:rFonts w:ascii="Calibri" w:hAnsi="Calibri"/>
                                <w:b/>
                                <w:bCs/>
                                <w:szCs w:val="22"/>
                              </w:rPr>
                              <w:tab/>
                            </w:r>
                            <w:r w:rsidRPr="00341937">
                              <w:rPr>
                                <w:rFonts w:ascii="Calibri" w:hAnsi="Calibri"/>
                                <w:b/>
                                <w:bCs/>
                                <w:szCs w:val="22"/>
                              </w:rPr>
                              <w:tab/>
                            </w:r>
                            <w:r w:rsidRPr="00341937">
                              <w:rPr>
                                <w:rFonts w:ascii="Calibri" w:hAnsi="Calibri"/>
                                <w:b/>
                                <w:bCs/>
                                <w:szCs w:val="22"/>
                              </w:rPr>
                              <w:tab/>
                            </w:r>
                            <w:r w:rsidRPr="00341937">
                              <w:rPr>
                                <w:rFonts w:ascii="Calibri" w:hAnsi="Calibri"/>
                                <w:bCs/>
                                <w:szCs w:val="22"/>
                              </w:rPr>
                              <w:t>XX%</w:t>
                            </w:r>
                            <w:r w:rsidRPr="00341937">
                              <w:rPr>
                                <w:rFonts w:ascii="Calibri" w:hAnsi="Calibri"/>
                                <w:b/>
                                <w:bCs/>
                                <w:szCs w:val="22"/>
                              </w:rPr>
                              <w:br/>
                            </w:r>
                            <w:r w:rsidRPr="00341937">
                              <w:rPr>
                                <w:rFonts w:ascii="Calibri" w:hAnsi="Calibri"/>
                                <w:szCs w:val="22"/>
                              </w:rPr>
                              <w:t xml:space="preserve">Profit: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p>
                          <w:p w14:paraId="0C790147" w14:textId="77777777" w:rsidR="005A7D2D" w:rsidRPr="00341937" w:rsidRDefault="005A7D2D" w:rsidP="002111D5">
                            <w:pPr>
                              <w:spacing w:before="120"/>
                              <w:rPr>
                                <w:rFonts w:ascii="Calibri" w:hAnsi="Calibri"/>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68F7C80" id="_x0000_t202" coordsize="21600,21600" o:spt="202" path="m,l,21600r21600,l21600,xe">
                <v:stroke joinstyle="miter"/>
                <v:path gradientshapeok="t" o:connecttype="rect"/>
              </v:shapetype>
              <v:shape id="Text Box 2" o:spid="_x0000_s1026" type="#_x0000_t202" style="position:absolute;margin-left:297.75pt;margin-top:23.25pt;width:186.95pt;height:10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" fillcolor="#c6d9f1" strokecolor="#558ed5">
                <v:textbox>
                  <w:txbxContent>
                    <w:p w14:paraId="15946FC4" w14:textId="77777777" w:rsidR="005A7D2D" w:rsidRPr="00341937" w:rsidRDefault="005A7D2D" w:rsidP="002111D5">
                      <w:pPr>
                        <w:pStyle w:val="Default"/>
                        <w:rPr>
                          <w:rFonts w:ascii="Calibri" w:hAnsi="Calibri"/>
                          <w:b/>
                          <w:szCs w:val="22"/>
                        </w:rPr>
                      </w:pPr>
                      <w:r w:rsidRPr="00341937">
                        <w:rPr>
                          <w:rFonts w:ascii="Calibri" w:hAnsi="Calibri"/>
                          <w:b/>
                          <w:szCs w:val="22"/>
                        </w:rPr>
                        <w:t>How it plans to spend your premium</w:t>
                      </w:r>
                    </w:p>
                    <w:p w14:paraId="7A906C0B" w14:textId="77777777" w:rsidR="005A7D2D" w:rsidRPr="00341937" w:rsidRDefault="005A7D2D" w:rsidP="002111D5">
                      <w:pPr>
                        <w:pStyle w:val="Default"/>
                        <w:rPr>
                          <w:rFonts w:ascii="Calibri" w:hAnsi="Calibri"/>
                          <w:szCs w:val="22"/>
                        </w:rPr>
                      </w:pPr>
                      <w:r w:rsidRPr="00341937">
                        <w:rPr>
                          <w:rFonts w:ascii="Calibri" w:hAnsi="Calibri"/>
                          <w:szCs w:val="22"/>
                        </w:rPr>
                        <w:t xml:space="preserve">This is how the insurance company plans to spend the premium it collects in 2017: </w:t>
                      </w:r>
                    </w:p>
                    <w:p w14:paraId="118DEAE5" w14:textId="77777777" w:rsidR="005A7D2D" w:rsidRPr="00341937" w:rsidRDefault="005A7D2D" w:rsidP="002111D5">
                      <w:pPr>
                        <w:spacing w:before="120"/>
                        <w:rPr>
                          <w:rFonts w:ascii="Calibri" w:hAnsi="Calibri"/>
                          <w:b/>
                          <w:bCs/>
                          <w:szCs w:val="22"/>
                        </w:rPr>
                      </w:pPr>
                      <w:r w:rsidRPr="00341937">
                        <w:rPr>
                          <w:rFonts w:ascii="Calibri" w:hAnsi="Calibri"/>
                          <w:szCs w:val="22"/>
                        </w:rPr>
                        <w:t xml:space="preserve">Claims: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 xml:space="preserve">% </w:t>
                      </w:r>
                      <w:r w:rsidRPr="00341937">
                        <w:rPr>
                          <w:rFonts w:ascii="Calibri" w:hAnsi="Calibri"/>
                          <w:b/>
                          <w:bCs/>
                          <w:szCs w:val="22"/>
                        </w:rPr>
                        <w:br/>
                      </w:r>
                      <w:r w:rsidRPr="00341937">
                        <w:rPr>
                          <w:rFonts w:ascii="Calibri" w:hAnsi="Calibri"/>
                          <w:szCs w:val="22"/>
                        </w:rPr>
                        <w:t xml:space="preserve">Administrative: </w:t>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r w:rsidRPr="00341937">
                        <w:rPr>
                          <w:rFonts w:ascii="Calibri" w:hAnsi="Calibri"/>
                          <w:b/>
                          <w:bCs/>
                          <w:szCs w:val="22"/>
                        </w:rPr>
                        <w:br/>
                      </w:r>
                      <w:r w:rsidRPr="00341937">
                        <w:rPr>
                          <w:rFonts w:ascii="Calibri" w:hAnsi="Calibri"/>
                          <w:bCs/>
                          <w:szCs w:val="22"/>
                        </w:rPr>
                        <w:t>Taxes &amp; fees:</w:t>
                      </w:r>
                      <w:r w:rsidRPr="00341937">
                        <w:rPr>
                          <w:rFonts w:ascii="Calibri" w:hAnsi="Calibri"/>
                          <w:b/>
                          <w:bCs/>
                          <w:szCs w:val="22"/>
                        </w:rPr>
                        <w:t xml:space="preserve"> </w:t>
                      </w:r>
                      <w:r w:rsidRPr="00341937">
                        <w:rPr>
                          <w:rFonts w:ascii="Calibri" w:hAnsi="Calibri"/>
                          <w:b/>
                          <w:bCs/>
                          <w:szCs w:val="22"/>
                        </w:rPr>
                        <w:tab/>
                      </w:r>
                      <w:r w:rsidRPr="00341937">
                        <w:rPr>
                          <w:rFonts w:ascii="Calibri" w:hAnsi="Calibri"/>
                          <w:b/>
                          <w:bCs/>
                          <w:szCs w:val="22"/>
                        </w:rPr>
                        <w:tab/>
                      </w:r>
                      <w:r w:rsidRPr="00341937">
                        <w:rPr>
                          <w:rFonts w:ascii="Calibri" w:hAnsi="Calibri"/>
                          <w:b/>
                          <w:bCs/>
                          <w:szCs w:val="22"/>
                        </w:rPr>
                        <w:tab/>
                      </w:r>
                      <w:r w:rsidRPr="00341937">
                        <w:rPr>
                          <w:rFonts w:ascii="Calibri" w:hAnsi="Calibri"/>
                          <w:bCs/>
                          <w:szCs w:val="22"/>
                        </w:rPr>
                        <w:t>XX%</w:t>
                      </w:r>
                      <w:r w:rsidRPr="00341937">
                        <w:rPr>
                          <w:rFonts w:ascii="Calibri" w:hAnsi="Calibri"/>
                          <w:b/>
                          <w:bCs/>
                          <w:szCs w:val="22"/>
                        </w:rPr>
                        <w:br/>
                      </w:r>
                      <w:r w:rsidRPr="00341937">
                        <w:rPr>
                          <w:rFonts w:ascii="Calibri" w:hAnsi="Calibri"/>
                          <w:szCs w:val="22"/>
                        </w:rPr>
                        <w:t xml:space="preserve">Profit: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p>
                    <w:p w14:paraId="0C790147" w14:textId="77777777" w:rsidR="005A7D2D" w:rsidRPr="00341937" w:rsidRDefault="005A7D2D" w:rsidP="002111D5">
                      <w:pPr>
                        <w:spacing w:before="120"/>
                        <w:rPr>
                          <w:rFonts w:ascii="Calibri" w:hAnsi="Calibri"/>
                          <w:szCs w:val="22"/>
                        </w:rPr>
                      </w:pPr>
                    </w:p>
                  </w:txbxContent>
                </v:textbox>
              </v:shape>
            </w:pict>
          </mc:Fallback>
        </mc:AlternateContent>
      </w:r>
      <w:r w:rsidRPr="002111D5">
        <w:rPr>
          <w:rFonts w:ascii="Calibri" w:eastAsia="MS Gothic" w:hAnsi="Calibri"/>
          <w:b/>
          <w:bCs/>
          <w:color w:val="548DD4"/>
          <w:sz w:val="26"/>
          <w:szCs w:val="26"/>
        </w:rPr>
        <w:t xml:space="preserve">Key information </w:t>
      </w:r>
      <w:r w:rsidRPr="002111D5">
        <w:rPr>
          <w:rFonts w:ascii="Calibri" w:eastAsia="MS Gothic" w:hAnsi="Calibri"/>
          <w:b/>
          <w:bCs/>
          <w:color w:val="548DD4"/>
          <w:sz w:val="26"/>
          <w:szCs w:val="26"/>
        </w:rPr>
        <w:br/>
      </w:r>
    </w:p>
    <w:p w14:paraId="25CC722C" w14:textId="77777777" w:rsidR="002111D5" w:rsidRPr="002111D5" w:rsidRDefault="002111D5" w:rsidP="002111D5">
      <w:pPr>
        <w:rPr>
          <w:rFonts w:ascii="Calibri" w:hAnsi="Calibri"/>
          <w:b/>
          <w:bCs/>
          <w:szCs w:val="16"/>
        </w:rPr>
      </w:pPr>
      <w:r w:rsidRPr="002111D5">
        <w:rPr>
          <w:rFonts w:ascii="Calibri" w:hAnsi="Calibri"/>
          <w:b/>
          <w:bCs/>
          <w:szCs w:val="16"/>
        </w:rPr>
        <w:t>Jan. 2016-Dec. 2016 financial experience</w:t>
      </w:r>
      <w:r w:rsidRPr="002111D5">
        <w:rPr>
          <w:rFonts w:ascii="Calibri" w:hAnsi="Calibri"/>
          <w:b/>
          <w:bCs/>
          <w:szCs w:val="16"/>
          <w:vertAlign w:val="superscript"/>
        </w:rPr>
        <w:footnoteReference w:id="2"/>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88"/>
        <w:gridCol w:w="2030"/>
      </w:tblGrid>
      <w:tr w:rsidR="002111D5" w:rsidRPr="002111D5" w14:paraId="6196ECA6" w14:textId="77777777" w:rsidTr="002111D5">
        <w:trPr>
          <w:trHeight w:val="140"/>
        </w:trPr>
        <w:tc>
          <w:tcPr>
            <w:tcW w:w="2988" w:type="dxa"/>
          </w:tcPr>
          <w:p w14:paraId="2F44BADB" w14:textId="77777777" w:rsidR="002111D5" w:rsidRPr="002111D5" w:rsidRDefault="002111D5" w:rsidP="002111D5">
            <w:pPr>
              <w:autoSpaceDE w:val="0"/>
              <w:autoSpaceDN w:val="0"/>
              <w:spacing w:before="120"/>
              <w:rPr>
                <w:rFonts w:ascii="Calibri" w:eastAsia="Calibri" w:hAnsi="Calibri"/>
                <w:color w:val="000000"/>
                <w:szCs w:val="22"/>
              </w:rPr>
            </w:pPr>
            <w:r w:rsidRPr="002111D5">
              <w:rPr>
                <w:rFonts w:ascii="Calibri" w:eastAsia="Calibri" w:hAnsi="Calibri"/>
                <w:color w:val="000000"/>
                <w:szCs w:val="22"/>
              </w:rPr>
              <w:t xml:space="preserve">Premiums </w:t>
            </w:r>
          </w:p>
        </w:tc>
        <w:tc>
          <w:tcPr>
            <w:tcW w:w="2030" w:type="dxa"/>
          </w:tcPr>
          <w:p w14:paraId="7AC13839" w14:textId="77777777" w:rsidR="002111D5" w:rsidRPr="002111D5" w:rsidRDefault="002111D5" w:rsidP="002111D5">
            <w:pPr>
              <w:autoSpaceDE w:val="0"/>
              <w:autoSpaceDN w:val="0"/>
              <w:spacing w:before="120"/>
              <w:jc w:val="right"/>
              <w:rPr>
                <w:rFonts w:ascii="Calibri" w:eastAsia="Calibri" w:hAnsi="Calibri"/>
                <w:color w:val="000000"/>
                <w:szCs w:val="22"/>
              </w:rPr>
            </w:pPr>
            <w:r w:rsidRPr="002111D5">
              <w:rPr>
                <w:rFonts w:ascii="Calibri" w:eastAsia="Calibri" w:hAnsi="Calibri"/>
                <w:color w:val="000000"/>
                <w:szCs w:val="22"/>
              </w:rPr>
              <w:t xml:space="preserve">$XX </w:t>
            </w:r>
          </w:p>
        </w:tc>
      </w:tr>
      <w:tr w:rsidR="002111D5" w:rsidRPr="002111D5" w14:paraId="2C77D667" w14:textId="77777777" w:rsidTr="002111D5">
        <w:trPr>
          <w:trHeight w:val="87"/>
        </w:trPr>
        <w:tc>
          <w:tcPr>
            <w:tcW w:w="2988" w:type="dxa"/>
          </w:tcPr>
          <w:p w14:paraId="76018593" w14:textId="77777777" w:rsidR="002111D5" w:rsidRPr="002111D5" w:rsidRDefault="002111D5" w:rsidP="002111D5">
            <w:pPr>
              <w:autoSpaceDE w:val="0"/>
              <w:autoSpaceDN w:val="0"/>
              <w:rPr>
                <w:rFonts w:ascii="Calibri" w:eastAsia="Calibri" w:hAnsi="Calibri"/>
                <w:color w:val="000000"/>
                <w:szCs w:val="22"/>
              </w:rPr>
            </w:pPr>
            <w:r w:rsidRPr="002111D5">
              <w:rPr>
                <w:rFonts w:ascii="Calibri" w:eastAsia="Calibri" w:hAnsi="Calibri"/>
                <w:color w:val="000000"/>
                <w:szCs w:val="22"/>
              </w:rPr>
              <w:t xml:space="preserve">Claims </w:t>
            </w:r>
          </w:p>
        </w:tc>
        <w:tc>
          <w:tcPr>
            <w:tcW w:w="2030" w:type="dxa"/>
          </w:tcPr>
          <w:p w14:paraId="336E6079" w14:textId="77777777" w:rsidR="002111D5" w:rsidRPr="002111D5" w:rsidRDefault="002111D5" w:rsidP="002111D5">
            <w:pPr>
              <w:autoSpaceDE w:val="0"/>
              <w:autoSpaceDN w:val="0"/>
              <w:jc w:val="right"/>
              <w:rPr>
                <w:rFonts w:ascii="Calibri" w:eastAsia="Calibri" w:hAnsi="Calibri"/>
                <w:color w:val="000000"/>
                <w:szCs w:val="22"/>
              </w:rPr>
            </w:pPr>
            <w:r w:rsidRPr="002111D5">
              <w:rPr>
                <w:rFonts w:ascii="Calibri" w:eastAsia="Calibri" w:hAnsi="Calibri"/>
                <w:color w:val="000000"/>
                <w:szCs w:val="22"/>
              </w:rPr>
              <w:t xml:space="preserve">$XX </w:t>
            </w:r>
          </w:p>
        </w:tc>
      </w:tr>
      <w:tr w:rsidR="002111D5" w:rsidRPr="002111D5" w14:paraId="23E957FD" w14:textId="77777777" w:rsidTr="002111D5">
        <w:trPr>
          <w:trHeight w:val="314"/>
        </w:trPr>
        <w:tc>
          <w:tcPr>
            <w:tcW w:w="2988" w:type="dxa"/>
            <w:tcBorders>
              <w:bottom w:val="single" w:sz="4" w:space="0" w:color="auto"/>
            </w:tcBorders>
          </w:tcPr>
          <w:p w14:paraId="0C68FC19" w14:textId="77777777" w:rsidR="002111D5" w:rsidRPr="002111D5" w:rsidRDefault="002111D5" w:rsidP="002111D5">
            <w:pPr>
              <w:autoSpaceDE w:val="0"/>
              <w:autoSpaceDN w:val="0"/>
              <w:rPr>
                <w:rFonts w:ascii="Calibri" w:eastAsia="Calibri" w:hAnsi="Calibri"/>
                <w:color w:val="000000"/>
                <w:szCs w:val="22"/>
              </w:rPr>
            </w:pPr>
            <w:r w:rsidRPr="002111D5">
              <w:rPr>
                <w:rFonts w:ascii="Calibri" w:eastAsia="Calibri" w:hAnsi="Calibri"/>
                <w:color w:val="000000"/>
                <w:szCs w:val="22"/>
              </w:rPr>
              <w:t xml:space="preserve">Administrative expenses </w:t>
            </w:r>
          </w:p>
        </w:tc>
        <w:tc>
          <w:tcPr>
            <w:tcW w:w="2030" w:type="dxa"/>
            <w:tcBorders>
              <w:bottom w:val="single" w:sz="4" w:space="0" w:color="auto"/>
            </w:tcBorders>
          </w:tcPr>
          <w:p w14:paraId="329BF3EB" w14:textId="77777777" w:rsidR="002111D5" w:rsidRPr="002111D5" w:rsidRDefault="002111D5" w:rsidP="002111D5">
            <w:pPr>
              <w:autoSpaceDE w:val="0"/>
              <w:autoSpaceDN w:val="0"/>
              <w:jc w:val="right"/>
              <w:rPr>
                <w:rFonts w:ascii="Calibri" w:eastAsia="Calibri" w:hAnsi="Calibri"/>
                <w:color w:val="000000"/>
                <w:szCs w:val="22"/>
              </w:rPr>
            </w:pPr>
            <w:r w:rsidRPr="002111D5">
              <w:rPr>
                <w:rFonts w:ascii="Calibri" w:eastAsia="Calibri" w:hAnsi="Calibri"/>
                <w:color w:val="000000"/>
                <w:szCs w:val="22"/>
              </w:rPr>
              <w:t xml:space="preserve">$XX </w:t>
            </w:r>
          </w:p>
        </w:tc>
      </w:tr>
      <w:tr w:rsidR="002111D5" w:rsidRPr="002111D5" w14:paraId="0943340D" w14:textId="77777777" w:rsidTr="002111D5">
        <w:trPr>
          <w:trHeight w:val="141"/>
        </w:trPr>
        <w:tc>
          <w:tcPr>
            <w:tcW w:w="2988" w:type="dxa"/>
            <w:tcBorders>
              <w:top w:val="single" w:sz="4" w:space="0" w:color="auto"/>
            </w:tcBorders>
          </w:tcPr>
          <w:p w14:paraId="49E141AD" w14:textId="77777777" w:rsidR="002111D5" w:rsidRPr="002111D5" w:rsidRDefault="002111D5" w:rsidP="002111D5">
            <w:pPr>
              <w:autoSpaceDE w:val="0"/>
              <w:autoSpaceDN w:val="0"/>
              <w:rPr>
                <w:rFonts w:ascii="Calibri" w:eastAsia="Calibri" w:hAnsi="Calibri"/>
                <w:color w:val="000000"/>
                <w:szCs w:val="22"/>
              </w:rPr>
            </w:pPr>
            <w:r w:rsidRPr="002111D5">
              <w:rPr>
                <w:rFonts w:ascii="Calibri" w:eastAsia="Calibri" w:hAnsi="Calibri"/>
                <w:color w:val="000000"/>
                <w:szCs w:val="22"/>
              </w:rPr>
              <w:t>Company made (before taxes)</w:t>
            </w:r>
          </w:p>
        </w:tc>
        <w:tc>
          <w:tcPr>
            <w:tcW w:w="2030" w:type="dxa"/>
            <w:tcBorders>
              <w:top w:val="single" w:sz="4" w:space="0" w:color="auto"/>
            </w:tcBorders>
          </w:tcPr>
          <w:p w14:paraId="61A16F99" w14:textId="77777777" w:rsidR="002111D5" w:rsidRPr="002111D5" w:rsidRDefault="002111D5" w:rsidP="002111D5">
            <w:pPr>
              <w:autoSpaceDE w:val="0"/>
              <w:autoSpaceDN w:val="0"/>
              <w:jc w:val="right"/>
              <w:rPr>
                <w:rFonts w:ascii="Calibri" w:eastAsia="Calibri" w:hAnsi="Calibri"/>
                <w:color w:val="000000"/>
                <w:szCs w:val="22"/>
              </w:rPr>
            </w:pPr>
            <w:r w:rsidRPr="002111D5">
              <w:rPr>
                <w:rFonts w:ascii="Calibri" w:eastAsia="Calibri" w:hAnsi="Calibri"/>
                <w:b/>
                <w:bCs/>
                <w:color w:val="000000"/>
                <w:szCs w:val="22"/>
              </w:rPr>
              <w:t xml:space="preserve">$XX </w:t>
            </w:r>
          </w:p>
        </w:tc>
      </w:tr>
    </w:tbl>
    <w:p w14:paraId="723086AD" w14:textId="77777777" w:rsidR="002111D5" w:rsidRPr="002111D5" w:rsidRDefault="002111D5" w:rsidP="002111D5">
      <w:pPr>
        <w:autoSpaceDE w:val="0"/>
        <w:autoSpaceDN w:val="0"/>
        <w:rPr>
          <w:rFonts w:ascii="Calibri" w:eastAsia="Calibri" w:hAnsi="Calibri"/>
          <w:i/>
          <w:color w:val="FF0000"/>
          <w:sz w:val="20"/>
          <w:szCs w:val="22"/>
        </w:rPr>
      </w:pPr>
      <w:r w:rsidRPr="002111D5">
        <w:rPr>
          <w:rFonts w:ascii="Calibri" w:eastAsia="Calibri" w:hAnsi="Calibri"/>
          <w:i/>
          <w:color w:val="FF0000"/>
          <w:sz w:val="20"/>
          <w:szCs w:val="22"/>
        </w:rPr>
        <w:t>[Financial info should be consistent with the 2016 SHCE – note, we are</w:t>
      </w:r>
    </w:p>
    <w:p w14:paraId="4AAB7E47" w14:textId="77777777" w:rsidR="002111D5" w:rsidRPr="002111D5" w:rsidRDefault="002111D5" w:rsidP="002111D5">
      <w:pPr>
        <w:autoSpaceDE w:val="0"/>
        <w:autoSpaceDN w:val="0"/>
        <w:rPr>
          <w:rFonts w:ascii="Calibri" w:eastAsia="Calibri" w:hAnsi="Calibri"/>
          <w:i/>
          <w:color w:val="FF0000"/>
          <w:sz w:val="20"/>
          <w:szCs w:val="22"/>
        </w:rPr>
      </w:pPr>
      <w:r w:rsidRPr="002111D5">
        <w:rPr>
          <w:rFonts w:ascii="Calibri" w:eastAsia="Calibri" w:hAnsi="Calibri"/>
          <w:i/>
          <w:noProof/>
          <w:color w:val="FF0000"/>
          <w:sz w:val="20"/>
          <w:szCs w:val="22"/>
        </w:rPr>
        <mc:AlternateContent>
          <mc:Choice Requires="wps">
            <w:drawing>
              <wp:anchor distT="45720" distB="45720" distL="114300" distR="114300" simplePos="0" relativeHeight="251671552" behindDoc="0" locked="0" layoutInCell="1" allowOverlap="1" wp14:anchorId="5D556AFB" wp14:editId="30F5FD8F">
                <wp:simplePos x="0" y="0"/>
                <wp:positionH relativeFrom="column">
                  <wp:posOffset>3781425</wp:posOffset>
                </wp:positionH>
                <wp:positionV relativeFrom="paragraph">
                  <wp:posOffset>155575</wp:posOffset>
                </wp:positionV>
                <wp:extent cx="2360930" cy="5524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450"/>
                        </a:xfrm>
                        <a:prstGeom prst="rect">
                          <a:avLst/>
                        </a:prstGeom>
                        <a:noFill/>
                        <a:ln w="9525">
                          <a:noFill/>
                          <a:miter lim="800000"/>
                          <a:headEnd/>
                          <a:tailEnd/>
                        </a:ln>
                      </wps:spPr>
                      <wps:txbx>
                        <w:txbxContent>
                          <w:p w14:paraId="478E4002" w14:textId="77777777" w:rsidR="005A7D2D" w:rsidRPr="00341937" w:rsidRDefault="005A7D2D" w:rsidP="002111D5">
                            <w:pPr>
                              <w:pStyle w:val="Default"/>
                              <w:rPr>
                                <w:rFonts w:ascii="Calibri" w:hAnsi="Calibri"/>
                                <w:i/>
                                <w:color w:val="FF0000"/>
                                <w:sz w:val="20"/>
                                <w:szCs w:val="22"/>
                              </w:rPr>
                            </w:pPr>
                            <w:r w:rsidRPr="00341937">
                              <w:rPr>
                                <w:rFonts w:ascii="Calibri" w:hAnsi="Calibri"/>
                                <w:i/>
                                <w:color w:val="FF0000"/>
                                <w:sz w:val="20"/>
                                <w:szCs w:val="22"/>
                              </w:rPr>
                              <w:t>[Should be consistent with tables 5 and 6</w:t>
                            </w:r>
                            <w:r>
                              <w:rPr>
                                <w:rFonts w:ascii="Calibri" w:hAnsi="Calibri"/>
                                <w:i/>
                                <w:color w:val="FF0000"/>
                                <w:sz w:val="20"/>
                                <w:szCs w:val="22"/>
                              </w:rPr>
                              <w:t>, except that Taxes &amp; fees should include Exchange user fees</w:t>
                            </w:r>
                            <w:r w:rsidRPr="00F473F5">
                              <w:rPr>
                                <w:rFonts w:ascii="Calibri" w:hAnsi="Calibri"/>
                                <w:i/>
                                <w:color w:val="FF0000"/>
                                <w:sz w:val="20"/>
                                <w:szCs w:val="22"/>
                              </w:rPr>
                              <w:t>.]</w:t>
                            </w:r>
                          </w:p>
                          <w:p w14:paraId="373A6657" w14:textId="77777777" w:rsidR="005A7D2D" w:rsidRDefault="005A7D2D" w:rsidP="002111D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556AFB" id="_x0000_s1027" type="#_x0000_t202" style="position:absolute;margin-left:297.75pt;margin-top:12.25pt;width:185.9pt;height:43.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" filled="f" stroked="f">
                <v:textbox>
                  <w:txbxContent>
                    <w:p w14:paraId="478E4002" w14:textId="77777777" w:rsidR="005A7D2D" w:rsidRPr="00341937" w:rsidRDefault="005A7D2D" w:rsidP="002111D5">
                      <w:pPr>
                        <w:pStyle w:val="Default"/>
                        <w:rPr>
                          <w:rFonts w:ascii="Calibri" w:hAnsi="Calibri"/>
                          <w:i/>
                          <w:color w:val="FF0000"/>
                          <w:sz w:val="20"/>
                          <w:szCs w:val="22"/>
                        </w:rPr>
                      </w:pPr>
                      <w:r w:rsidRPr="00341937">
                        <w:rPr>
                          <w:rFonts w:ascii="Calibri" w:hAnsi="Calibri"/>
                          <w:i/>
                          <w:color w:val="FF0000"/>
                          <w:sz w:val="20"/>
                          <w:szCs w:val="22"/>
                        </w:rPr>
                        <w:t>[Should be consistent with tables 5 and 6</w:t>
                      </w:r>
                      <w:r>
                        <w:rPr>
                          <w:rFonts w:ascii="Calibri" w:hAnsi="Calibri"/>
                          <w:i/>
                          <w:color w:val="FF0000"/>
                          <w:sz w:val="20"/>
                          <w:szCs w:val="22"/>
                        </w:rPr>
                        <w:t>, except that Taxes &amp; fees should include Exchange user fees</w:t>
                      </w:r>
                      <w:r w:rsidRPr="00F473F5">
                        <w:rPr>
                          <w:rFonts w:ascii="Calibri" w:hAnsi="Calibri"/>
                          <w:i/>
                          <w:color w:val="FF0000"/>
                          <w:sz w:val="20"/>
                          <w:szCs w:val="22"/>
                        </w:rPr>
                        <w:t>.]</w:t>
                      </w:r>
                    </w:p>
                    <w:p w14:paraId="373A6657" w14:textId="77777777" w:rsidR="005A7D2D" w:rsidRDefault="005A7D2D" w:rsidP="002111D5"/>
                  </w:txbxContent>
                </v:textbox>
                <w10:wrap type="square"/>
              </v:shape>
            </w:pict>
          </mc:Fallback>
        </mc:AlternateContent>
      </w:r>
      <w:r w:rsidRPr="002111D5">
        <w:rPr>
          <w:rFonts w:ascii="Calibri" w:eastAsia="Calibri" w:hAnsi="Calibri"/>
          <w:i/>
          <w:color w:val="FF0000"/>
          <w:sz w:val="20"/>
          <w:szCs w:val="22"/>
        </w:rPr>
        <w:t xml:space="preserve">accepting comments on whether to revise this guidance and whether to change the way information is presented in this section – e.g., to list </w:t>
      </w:r>
    </w:p>
    <w:p w14:paraId="30184522" w14:textId="77777777" w:rsidR="002111D5" w:rsidRPr="002111D5" w:rsidRDefault="002111D5" w:rsidP="002111D5">
      <w:pPr>
        <w:autoSpaceDE w:val="0"/>
        <w:autoSpaceDN w:val="0"/>
        <w:rPr>
          <w:rFonts w:ascii="Calibri" w:eastAsia="Calibri" w:hAnsi="Calibri"/>
          <w:i/>
          <w:color w:val="FF0000"/>
          <w:sz w:val="20"/>
          <w:szCs w:val="22"/>
        </w:rPr>
      </w:pPr>
      <w:r w:rsidRPr="002111D5">
        <w:rPr>
          <w:rFonts w:ascii="Calibri" w:eastAsia="Calibri" w:hAnsi="Calibri"/>
          <w:i/>
          <w:color w:val="FF0000"/>
          <w:sz w:val="20"/>
          <w:szCs w:val="22"/>
        </w:rPr>
        <w:t>taxes above the line and show after-tax profit/loss below the line, or to show only financial experience for the business that is the subject of the rate filing. Any comments should suggest how to ensure that this information is calculated consistently by all insurers.]</w:t>
      </w:r>
    </w:p>
    <w:p w14:paraId="2E20ECF0" w14:textId="77777777" w:rsidR="002111D5" w:rsidRPr="002111D5" w:rsidRDefault="002111D5" w:rsidP="002111D5">
      <w:pPr>
        <w:autoSpaceDE w:val="0"/>
        <w:autoSpaceDN w:val="0"/>
        <w:jc w:val="right"/>
        <w:rPr>
          <w:rFonts w:ascii="Calibri" w:eastAsia="Calibri" w:hAnsi="Calibri"/>
          <w:color w:val="000000"/>
        </w:rPr>
      </w:pPr>
    </w:p>
    <w:p w14:paraId="402E86E2" w14:textId="77777777" w:rsidR="002111D5" w:rsidRPr="002111D5" w:rsidRDefault="002111D5" w:rsidP="002111D5">
      <w:pPr>
        <w:rPr>
          <w:rFonts w:ascii="Calibri" w:hAnsi="Calibri"/>
          <w:szCs w:val="22"/>
        </w:rPr>
      </w:pPr>
      <w:r w:rsidRPr="002111D5">
        <w:rPr>
          <w:rFonts w:ascii="Calibri" w:hAnsi="Calibri"/>
          <w:szCs w:val="22"/>
        </w:rPr>
        <w:t xml:space="preserve">The company expects its annual medical costs to increase </w:t>
      </w:r>
      <w:r w:rsidRPr="002111D5">
        <w:rPr>
          <w:rFonts w:ascii="Calibri" w:hAnsi="Calibri"/>
          <w:b/>
          <w:bCs/>
          <w:szCs w:val="22"/>
        </w:rPr>
        <w:t>X%</w:t>
      </w:r>
      <w:r w:rsidRPr="002111D5">
        <w:rPr>
          <w:rFonts w:ascii="Calibri" w:hAnsi="Calibri"/>
          <w:szCs w:val="22"/>
        </w:rPr>
        <w:t xml:space="preserve">. </w:t>
      </w:r>
    </w:p>
    <w:p w14:paraId="53F961D2" w14:textId="77777777" w:rsidR="002111D5" w:rsidRPr="002111D5" w:rsidRDefault="002111D5" w:rsidP="002111D5">
      <w:pPr>
        <w:keepNext/>
        <w:keepLines/>
        <w:spacing w:before="360" w:after="120"/>
        <w:ind w:left="360" w:hanging="360"/>
        <w:outlineLvl w:val="1"/>
        <w:rPr>
          <w:rFonts w:ascii="Calibri" w:eastAsia="MS Gothic" w:hAnsi="Calibri"/>
          <w:b/>
          <w:color w:val="548DD4"/>
          <w:sz w:val="26"/>
          <w:szCs w:val="26"/>
        </w:rPr>
      </w:pPr>
      <w:bookmarkStart w:id="260" w:name="_Toc440553988"/>
      <w:bookmarkStart w:id="261" w:name="_Toc440554243"/>
      <w:bookmarkStart w:id="262" w:name="_Toc440555430"/>
      <w:bookmarkStart w:id="263" w:name="_Toc440555607"/>
      <w:bookmarkStart w:id="264" w:name="_Toc440555669"/>
      <w:bookmarkStart w:id="265" w:name="_Toc440557524"/>
      <w:bookmarkStart w:id="266" w:name="_Toc440633003"/>
      <w:bookmarkStart w:id="267" w:name="_Toc445123735"/>
      <w:r w:rsidRPr="002111D5">
        <w:rPr>
          <w:rFonts w:ascii="Calibri" w:eastAsia="MS Gothic" w:hAnsi="Calibri"/>
          <w:b/>
          <w:color w:val="548DD4"/>
          <w:sz w:val="26"/>
          <w:szCs w:val="26"/>
        </w:rPr>
        <w:t>Explanation of requested rate change</w:t>
      </w:r>
      <w:bookmarkEnd w:id="260"/>
      <w:bookmarkEnd w:id="261"/>
      <w:bookmarkEnd w:id="262"/>
      <w:bookmarkEnd w:id="263"/>
      <w:bookmarkEnd w:id="264"/>
      <w:bookmarkEnd w:id="265"/>
      <w:bookmarkEnd w:id="266"/>
      <w:bookmarkEnd w:id="267"/>
    </w:p>
    <w:p w14:paraId="602C4852" w14:textId="77777777" w:rsidR="00EE3A00" w:rsidRDefault="002111D5" w:rsidP="002111D5">
      <w:pPr>
        <w:rPr>
          <w:rFonts w:ascii="Calibri" w:hAnsi="Calibri"/>
          <w:color w:val="FF0000"/>
        </w:rPr>
      </w:pPr>
      <w:r w:rsidRPr="002111D5">
        <w:rPr>
          <w:rFonts w:ascii="Calibri" w:hAnsi="Calibri"/>
          <w:color w:val="FF0000"/>
        </w:rPr>
        <w:t xml:space="preserve">Provide a non-technical description of why the issuer is requesting this rate increase. </w:t>
      </w:r>
    </w:p>
    <w:p w14:paraId="6DEE4627" w14:textId="1DDF5D04" w:rsidR="002111D5" w:rsidRPr="002111D5" w:rsidRDefault="002111D5" w:rsidP="002111D5">
      <w:pPr>
        <w:rPr>
          <w:rFonts w:ascii="Calibri" w:hAnsi="Calibri"/>
          <w:color w:val="FF0000"/>
        </w:rPr>
      </w:pPr>
      <w:r w:rsidRPr="002111D5">
        <w:rPr>
          <w:rFonts w:ascii="Calibri" w:hAnsi="Calibri"/>
          <w:color w:val="FF0000"/>
        </w:rPr>
        <w:t xml:space="preserve">Identify and explain the key drivers of the increase. </w:t>
      </w:r>
    </w:p>
    <w:p w14:paraId="7E62A037" w14:textId="77777777" w:rsidR="00A805CD" w:rsidRDefault="002111D5" w:rsidP="00B47CAC">
      <w:pPr>
        <w:rPr>
          <w:rFonts w:ascii="Calibri" w:hAnsi="Calibri"/>
          <w:b/>
          <w:color w:val="FF0000"/>
        </w:rPr>
        <w:sectPr w:rsidR="00A805CD" w:rsidSect="002111D5">
          <w:headerReference w:type="first" r:id="rId20"/>
          <w:footerReference w:type="first" r:id="rId21"/>
          <w:pgSz w:w="12240" w:h="15840"/>
          <w:pgMar w:top="1440" w:right="1080" w:bottom="1440" w:left="1080" w:header="720" w:footer="720" w:gutter="0"/>
          <w:cols w:space="720"/>
          <w:titlePg/>
          <w:docGrid w:linePitch="326"/>
        </w:sectPr>
      </w:pPr>
      <w:r w:rsidRPr="00A805CD">
        <w:rPr>
          <w:rFonts w:ascii="Calibri" w:hAnsi="Calibri"/>
          <w:b/>
          <w:color w:val="FF0000"/>
        </w:rPr>
        <w:t>Once the required information has been entered, delete the red text throughout the document.</w:t>
      </w:r>
    </w:p>
    <w:p w14:paraId="41950DCD" w14:textId="63BB1986" w:rsidR="00A805CD" w:rsidRPr="00271157" w:rsidRDefault="00A805CD" w:rsidP="00D6470D">
      <w:pPr>
        <w:pStyle w:val="Title"/>
        <w:numPr>
          <w:ilvl w:val="0"/>
          <w:numId w:val="0"/>
        </w:numPr>
        <w:ind w:left="360"/>
        <w:jc w:val="center"/>
        <w:rPr>
          <w:rFonts w:asciiTheme="minorHAnsi" w:hAnsiTheme="minorHAnsi"/>
          <w:sz w:val="36"/>
        </w:rPr>
      </w:pPr>
      <w:bookmarkStart w:id="268" w:name="_Toc474316457"/>
      <w:r w:rsidRPr="00271157">
        <w:rPr>
          <w:rFonts w:asciiTheme="minorHAnsi" w:hAnsiTheme="minorHAnsi"/>
          <w:sz w:val="36"/>
        </w:rPr>
        <w:lastRenderedPageBreak/>
        <w:t>Attachment 2:</w:t>
      </w:r>
      <w:r w:rsidRPr="00271157">
        <w:rPr>
          <w:rFonts w:asciiTheme="minorHAnsi" w:hAnsiTheme="minorHAnsi"/>
          <w:spacing w:val="0"/>
          <w:sz w:val="36"/>
        </w:rPr>
        <w:t xml:space="preserve"> </w:t>
      </w:r>
      <w:r w:rsidR="00D6470D" w:rsidRPr="00271157">
        <w:rPr>
          <w:rFonts w:asciiTheme="minorHAnsi" w:hAnsiTheme="minorHAnsi"/>
          <w:sz w:val="36"/>
        </w:rPr>
        <w:br/>
      </w:r>
      <w:r w:rsidRPr="00271157">
        <w:rPr>
          <w:rFonts w:asciiTheme="minorHAnsi" w:hAnsiTheme="minorHAnsi"/>
          <w:spacing w:val="0"/>
          <w:sz w:val="36"/>
        </w:rPr>
        <w:t>Common Data Call Questions Related to</w:t>
      </w:r>
      <w:r w:rsidR="00D6470D" w:rsidRPr="00271157">
        <w:rPr>
          <w:rFonts w:asciiTheme="minorHAnsi" w:hAnsiTheme="minorHAnsi"/>
          <w:spacing w:val="0"/>
          <w:sz w:val="36"/>
        </w:rPr>
        <w:t xml:space="preserve"> </w:t>
      </w:r>
      <w:r w:rsidR="00D6470D" w:rsidRPr="00271157">
        <w:rPr>
          <w:rFonts w:asciiTheme="minorHAnsi" w:hAnsiTheme="minorHAnsi"/>
          <w:spacing w:val="0"/>
          <w:sz w:val="36"/>
        </w:rPr>
        <w:br/>
      </w:r>
      <w:r w:rsidRPr="00271157">
        <w:rPr>
          <w:rFonts w:asciiTheme="minorHAnsi" w:hAnsiTheme="minorHAnsi"/>
          <w:spacing w:val="0"/>
          <w:sz w:val="36"/>
        </w:rPr>
        <w:t>2017 ACA-Compliant Rate Submissions</w:t>
      </w:r>
      <w:bookmarkEnd w:id="268"/>
    </w:p>
    <w:p w14:paraId="1488A086" w14:textId="77777777" w:rsidR="00A805CD" w:rsidRPr="00A805CD" w:rsidRDefault="00A805CD" w:rsidP="00A805CD">
      <w:pPr>
        <w:spacing w:line="220" w:lineRule="atLeast"/>
        <w:jc w:val="center"/>
        <w:rPr>
          <w:rFonts w:ascii="Calibri" w:eastAsia="MS Gothic" w:hAnsi="Calibri"/>
          <w:b/>
          <w:bCs/>
          <w:sz w:val="28"/>
          <w:szCs w:val="28"/>
        </w:rPr>
      </w:pPr>
    </w:p>
    <w:p w14:paraId="39824D14" w14:textId="77777777" w:rsidR="00A805CD" w:rsidRPr="00A805CD" w:rsidRDefault="00A805CD" w:rsidP="00A805CD">
      <w:pPr>
        <w:spacing w:line="276" w:lineRule="auto"/>
        <w:rPr>
          <w:rFonts w:ascii="Calibri" w:eastAsia="Calibri" w:hAnsi="Calibri"/>
          <w:szCs w:val="22"/>
        </w:rPr>
      </w:pPr>
      <w:r w:rsidRPr="00A805CD">
        <w:rPr>
          <w:rFonts w:ascii="Calibri" w:eastAsia="Calibri" w:hAnsi="Calibri"/>
          <w:szCs w:val="22"/>
        </w:rPr>
        <w:t xml:space="preserve">An italicized question indicates that the Departmental guidance has been updated to explicitly include the request/direction. Questions that are not italicized should still be considered when preparing the filing; they were not directly incorporated into this guidance either because the Department feels they were already addressed in the guidance, because they pertain to specific circumstances that may not be applicable to all issuers, or because they pertain to the URRT and are already addressed in the URR instructions. </w:t>
      </w:r>
    </w:p>
    <w:p w14:paraId="56D3BCE6" w14:textId="77777777" w:rsidR="00A805CD" w:rsidRPr="00A805CD" w:rsidRDefault="00A805CD" w:rsidP="00A805CD">
      <w:pPr>
        <w:spacing w:line="276" w:lineRule="auto"/>
        <w:rPr>
          <w:rFonts w:ascii="Calibri" w:hAnsi="Calibri"/>
          <w:spacing w:val="-5"/>
          <w:szCs w:val="22"/>
          <w:u w:val="single"/>
        </w:rPr>
      </w:pPr>
      <w:r w:rsidRPr="00A805CD">
        <w:rPr>
          <w:rFonts w:ascii="Calibri" w:hAnsi="Calibri"/>
          <w:spacing w:val="-5"/>
          <w:szCs w:val="22"/>
          <w:u w:val="single"/>
        </w:rPr>
        <w:t>Other</w:t>
      </w:r>
    </w:p>
    <w:p w14:paraId="1402AC15" w14:textId="77777777" w:rsidR="00A805CD" w:rsidRPr="00A805CD" w:rsidRDefault="00A805CD" w:rsidP="00A63B50">
      <w:pPr>
        <w:numPr>
          <w:ilvl w:val="0"/>
          <w:numId w:val="36"/>
        </w:numPr>
        <w:tabs>
          <w:tab w:val="left" w:pos="472"/>
        </w:tabs>
        <w:spacing w:line="276" w:lineRule="auto"/>
        <w:ind w:right="295"/>
        <w:jc w:val="both"/>
        <w:rPr>
          <w:rFonts w:ascii="Calibri" w:hAnsi="Calibri"/>
          <w:spacing w:val="-5"/>
          <w:szCs w:val="22"/>
        </w:rPr>
      </w:pPr>
      <w:r w:rsidRPr="00A805CD">
        <w:rPr>
          <w:rFonts w:ascii="Calibri" w:hAnsi="Calibri"/>
          <w:spacing w:val="-5"/>
          <w:szCs w:val="22"/>
        </w:rPr>
        <w:t>Please provide all tables, exhibits, etc. supporting the actuarial memorandum in Excel format with formulas for each entry.</w:t>
      </w:r>
    </w:p>
    <w:p w14:paraId="45906404" w14:textId="77777777" w:rsidR="00A805CD" w:rsidRPr="00A805CD" w:rsidRDefault="00A805CD" w:rsidP="00A63B50">
      <w:pPr>
        <w:numPr>
          <w:ilvl w:val="0"/>
          <w:numId w:val="36"/>
        </w:numPr>
        <w:spacing w:line="276" w:lineRule="auto"/>
        <w:rPr>
          <w:rFonts w:ascii="Calibri" w:hAnsi="Calibri"/>
          <w:spacing w:val="-5"/>
          <w:szCs w:val="22"/>
        </w:rPr>
      </w:pPr>
      <w:r w:rsidRPr="00A805CD">
        <w:rPr>
          <w:rFonts w:ascii="Calibri" w:hAnsi="Calibri"/>
          <w:spacing w:val="-5"/>
          <w:szCs w:val="22"/>
        </w:rPr>
        <w:t xml:space="preserve">Please be advised that each time the URRT is changed in SERFF, the URRT in HIOS must also be updated.  Please acknowledge your understanding and certify that you are in compliance. </w:t>
      </w:r>
    </w:p>
    <w:p w14:paraId="4F59C4BE" w14:textId="77777777" w:rsidR="00A805CD" w:rsidRPr="00A805CD" w:rsidRDefault="00A805CD" w:rsidP="00A63B50">
      <w:pPr>
        <w:numPr>
          <w:ilvl w:val="0"/>
          <w:numId w:val="36"/>
        </w:numPr>
        <w:spacing w:line="276" w:lineRule="auto"/>
        <w:rPr>
          <w:rFonts w:ascii="Calibri" w:hAnsi="Calibri"/>
          <w:spacing w:val="-5"/>
          <w:szCs w:val="22"/>
        </w:rPr>
      </w:pPr>
      <w:r w:rsidRPr="00A805CD">
        <w:rPr>
          <w:rFonts w:ascii="Calibri" w:hAnsi="Calibri"/>
          <w:spacing w:val="-5"/>
          <w:szCs w:val="22"/>
        </w:rPr>
        <w:t>Does this filing propose any changes in your pricing model?   If so, please discuss.  This response may be redacted since it may contain confidential information.</w:t>
      </w:r>
    </w:p>
    <w:p w14:paraId="6E0F557A" w14:textId="43A28C71" w:rsidR="00A805CD" w:rsidRPr="00A805CD" w:rsidRDefault="00A805CD" w:rsidP="00A63B50">
      <w:pPr>
        <w:numPr>
          <w:ilvl w:val="0"/>
          <w:numId w:val="36"/>
        </w:numPr>
        <w:spacing w:line="276" w:lineRule="auto"/>
        <w:rPr>
          <w:rFonts w:ascii="Calibri" w:hAnsi="Calibri"/>
          <w:spacing w:val="-5"/>
          <w:szCs w:val="22"/>
        </w:rPr>
      </w:pPr>
      <w:r w:rsidRPr="00A805CD">
        <w:rPr>
          <w:rFonts w:ascii="Calibri" w:hAnsi="Calibri"/>
          <w:spacing w:val="-5"/>
          <w:szCs w:val="22"/>
        </w:rPr>
        <w:t xml:space="preserve">Please discuss the impact SEP enrollees have had on your company’s claims experience. If possible, provide the 2015 loss ratio for SEP enrollees and non-SEP enrollees. </w:t>
      </w:r>
    </w:p>
    <w:p w14:paraId="0A5D9DCC" w14:textId="77777777" w:rsidR="00A805CD" w:rsidRDefault="00A805CD" w:rsidP="00A805CD">
      <w:pPr>
        <w:spacing w:line="276" w:lineRule="auto"/>
        <w:jc w:val="both"/>
        <w:rPr>
          <w:rFonts w:ascii="Calibri" w:hAnsi="Calibri"/>
          <w:spacing w:val="-5"/>
          <w:szCs w:val="22"/>
          <w:u w:val="single"/>
        </w:rPr>
      </w:pPr>
    </w:p>
    <w:p w14:paraId="5D4F112B" w14:textId="77777777" w:rsidR="00A805CD" w:rsidRPr="00A805CD" w:rsidRDefault="00A805CD" w:rsidP="00A805CD">
      <w:pPr>
        <w:spacing w:line="276" w:lineRule="auto"/>
        <w:jc w:val="both"/>
        <w:rPr>
          <w:rFonts w:ascii="Calibri" w:hAnsi="Calibri"/>
          <w:spacing w:val="-5"/>
          <w:szCs w:val="22"/>
          <w:u w:val="single"/>
        </w:rPr>
      </w:pPr>
      <w:r w:rsidRPr="00A805CD">
        <w:rPr>
          <w:rFonts w:ascii="Calibri" w:hAnsi="Calibri"/>
          <w:spacing w:val="-5"/>
          <w:szCs w:val="22"/>
          <w:u w:val="single"/>
        </w:rPr>
        <w:t>Tables 1-4</w:t>
      </w:r>
    </w:p>
    <w:p w14:paraId="3D529588" w14:textId="77777777" w:rsidR="00A805CD" w:rsidRPr="00A805CD" w:rsidRDefault="00A805CD" w:rsidP="00A63B50">
      <w:pPr>
        <w:numPr>
          <w:ilvl w:val="0"/>
          <w:numId w:val="36"/>
        </w:numPr>
        <w:tabs>
          <w:tab w:val="left" w:pos="472"/>
        </w:tabs>
        <w:spacing w:line="276" w:lineRule="auto"/>
        <w:ind w:right="295"/>
        <w:jc w:val="both"/>
        <w:rPr>
          <w:rFonts w:ascii="Calibri" w:hAnsi="Calibri"/>
          <w:spacing w:val="-5"/>
          <w:szCs w:val="22"/>
        </w:rPr>
      </w:pPr>
      <w:r w:rsidRPr="00A805CD">
        <w:rPr>
          <w:rFonts w:ascii="Calibri" w:hAnsi="Calibri"/>
          <w:spacing w:val="-5"/>
          <w:szCs w:val="22"/>
        </w:rPr>
        <w:t xml:space="preserve">Please provide the January 1, 2016 through April 30, 2016 emerging experience in an Excel worksheet formatted similar to Table 2. </w:t>
      </w:r>
    </w:p>
    <w:p w14:paraId="243F665D" w14:textId="77777777" w:rsidR="00A805CD" w:rsidRPr="00A805CD" w:rsidRDefault="00A805CD" w:rsidP="00A63B50">
      <w:pPr>
        <w:numPr>
          <w:ilvl w:val="0"/>
          <w:numId w:val="36"/>
        </w:numPr>
        <w:tabs>
          <w:tab w:val="left" w:pos="472"/>
        </w:tabs>
        <w:spacing w:line="276" w:lineRule="auto"/>
        <w:ind w:right="295"/>
        <w:jc w:val="both"/>
        <w:rPr>
          <w:rFonts w:ascii="Calibri" w:hAnsi="Calibri"/>
          <w:i/>
          <w:spacing w:val="-5"/>
          <w:szCs w:val="22"/>
        </w:rPr>
      </w:pPr>
      <w:r w:rsidRPr="00A805CD">
        <w:rPr>
          <w:rFonts w:ascii="Calibri" w:hAnsi="Calibri"/>
          <w:i/>
          <w:spacing w:val="-5"/>
          <w:szCs w:val="22"/>
        </w:rPr>
        <w:t>In Tables 2 and 4, does the premium include revenue generated from transitional business?   If so, please provide the dollar amount of premium and the number of transitional members.</w:t>
      </w:r>
    </w:p>
    <w:p w14:paraId="2F46BD1A" w14:textId="77777777" w:rsidR="00A805CD" w:rsidRPr="00A805CD" w:rsidRDefault="00A805CD" w:rsidP="00A63B50">
      <w:pPr>
        <w:numPr>
          <w:ilvl w:val="0"/>
          <w:numId w:val="36"/>
        </w:numPr>
        <w:spacing w:line="276" w:lineRule="auto"/>
        <w:rPr>
          <w:rFonts w:ascii="Calibri" w:hAnsi="Calibri"/>
          <w:i/>
          <w:spacing w:val="-5"/>
          <w:szCs w:val="22"/>
        </w:rPr>
      </w:pPr>
      <w:r w:rsidRPr="00A805CD">
        <w:rPr>
          <w:rFonts w:ascii="Calibri" w:hAnsi="Calibri"/>
          <w:i/>
          <w:szCs w:val="22"/>
        </w:rPr>
        <w:t>Please show quantitatively the derivation of the trend assumptions for each benefit</w:t>
      </w:r>
      <w:r w:rsidRPr="00A805CD">
        <w:rPr>
          <w:rFonts w:ascii="Calibri" w:hAnsi="Calibri"/>
          <w:i/>
          <w:spacing w:val="-5"/>
          <w:szCs w:val="22"/>
        </w:rPr>
        <w:t xml:space="preserve"> category as shown in Table 3. Please include the sources and source claims data.  Also provide a detailed narrative that explains how this data was used in developing the trend, including all assumptions and adjustments.  Also discuss the impact of provider contracting and leveraging on trend.  The specific provider contracting agreement and amount may be redacted, but not aggregate amounts.</w:t>
      </w:r>
    </w:p>
    <w:p w14:paraId="47D15494" w14:textId="77777777" w:rsidR="00A805CD" w:rsidRPr="00A805CD" w:rsidRDefault="00A805CD" w:rsidP="00A63B50">
      <w:pPr>
        <w:numPr>
          <w:ilvl w:val="0"/>
          <w:numId w:val="36"/>
        </w:numPr>
        <w:spacing w:line="276" w:lineRule="auto"/>
        <w:rPr>
          <w:rFonts w:ascii="Calibri" w:hAnsi="Calibri"/>
          <w:i/>
          <w:spacing w:val="-5"/>
          <w:szCs w:val="22"/>
        </w:rPr>
      </w:pPr>
      <w:r w:rsidRPr="00A805CD">
        <w:rPr>
          <w:rFonts w:ascii="Calibri" w:hAnsi="Calibri"/>
          <w:i/>
          <w:spacing w:val="-5"/>
          <w:szCs w:val="22"/>
        </w:rPr>
        <w:t>If manual data was used in developing the trend, provide a detailed narrative that explains how this data was used in developing the trend, the data source and all assumptions and adjustments.  Also discuss the impact of provider contracting and leveraging on trend.</w:t>
      </w:r>
    </w:p>
    <w:p w14:paraId="44A68C34" w14:textId="77777777" w:rsidR="00A805CD" w:rsidRPr="00A805CD" w:rsidRDefault="00A805CD" w:rsidP="00A805CD">
      <w:pPr>
        <w:spacing w:line="276" w:lineRule="auto"/>
        <w:ind w:left="720"/>
        <w:rPr>
          <w:rFonts w:ascii="Calibri" w:hAnsi="Calibri"/>
          <w:i/>
          <w:spacing w:val="-5"/>
          <w:szCs w:val="22"/>
        </w:rPr>
      </w:pPr>
    </w:p>
    <w:p w14:paraId="445D89F2" w14:textId="77777777" w:rsidR="00A805CD" w:rsidRPr="00A805CD" w:rsidRDefault="00A805CD" w:rsidP="00A805CD">
      <w:pPr>
        <w:spacing w:line="276" w:lineRule="auto"/>
        <w:rPr>
          <w:rFonts w:ascii="Calibri" w:eastAsia="Calibri" w:hAnsi="Calibri"/>
          <w:spacing w:val="-5"/>
          <w:szCs w:val="22"/>
          <w:u w:val="single"/>
        </w:rPr>
      </w:pPr>
      <w:r w:rsidRPr="00A805CD">
        <w:rPr>
          <w:rFonts w:ascii="Calibri" w:eastAsia="Calibri" w:hAnsi="Calibri"/>
          <w:spacing w:val="-5"/>
          <w:szCs w:val="22"/>
          <w:u w:val="single"/>
        </w:rPr>
        <w:t>Table 5 / Related URRT components</w:t>
      </w:r>
    </w:p>
    <w:p w14:paraId="5381E7B3" w14:textId="77777777" w:rsidR="00A805CD" w:rsidRPr="00A805CD" w:rsidRDefault="00A805CD" w:rsidP="00A63B50">
      <w:pPr>
        <w:widowControl w:val="0"/>
        <w:numPr>
          <w:ilvl w:val="0"/>
          <w:numId w:val="36"/>
        </w:numPr>
        <w:tabs>
          <w:tab w:val="left" w:pos="472"/>
        </w:tabs>
        <w:spacing w:line="276" w:lineRule="auto"/>
        <w:rPr>
          <w:rFonts w:ascii="Calibri" w:hAnsi="Calibri"/>
          <w:i/>
          <w:spacing w:val="-1"/>
          <w:szCs w:val="22"/>
        </w:rPr>
      </w:pPr>
      <w:r w:rsidRPr="00A805CD">
        <w:rPr>
          <w:rFonts w:ascii="Calibri" w:hAnsi="Calibri"/>
          <w:i/>
          <w:spacing w:val="-1"/>
          <w:szCs w:val="22"/>
        </w:rPr>
        <w:t xml:space="preserve">Please show quantitatively including an Excel spreadsheet with formulas the derivation and justification of each of the “Change in Morbidity” (.xxx), “Change in Demographics” (.xxx), “Change in Network” (X.xxx), and “Change in Other” (.xxx) Single Risk Pool Adjustment Factors, shown in Table 5 of the Actuarial Memorandum Rate Exhibits. </w:t>
      </w:r>
    </w:p>
    <w:p w14:paraId="39A28F40" w14:textId="77777777" w:rsidR="00A805CD" w:rsidRPr="00A805CD" w:rsidRDefault="00A805CD" w:rsidP="00A63B50">
      <w:pPr>
        <w:widowControl w:val="0"/>
        <w:numPr>
          <w:ilvl w:val="0"/>
          <w:numId w:val="36"/>
        </w:numPr>
        <w:tabs>
          <w:tab w:val="left" w:pos="472"/>
        </w:tabs>
        <w:spacing w:line="276" w:lineRule="auto"/>
        <w:ind w:right="295"/>
        <w:rPr>
          <w:rFonts w:ascii="Calibri" w:eastAsia="Calibri" w:hAnsi="Calibri"/>
          <w:szCs w:val="22"/>
        </w:rPr>
      </w:pPr>
      <w:r w:rsidRPr="00A805CD">
        <w:rPr>
          <w:rFonts w:ascii="Calibri" w:hAnsi="Calibri"/>
          <w:spacing w:val="-5"/>
          <w:szCs w:val="22"/>
        </w:rPr>
        <w:t xml:space="preserve">Please describe quantitatively, including an Excel spreadsheet with formulas, the derivation of the </w:t>
      </w:r>
      <w:r w:rsidRPr="00A805CD">
        <w:rPr>
          <w:rFonts w:ascii="Calibri" w:hAnsi="Calibri"/>
          <w:spacing w:val="-5"/>
          <w:szCs w:val="22"/>
        </w:rPr>
        <w:lastRenderedPageBreak/>
        <w:t xml:space="preserve">population risk morbidity and the “Other” factor as found in Worksheet 1, Section II of the URRT.  </w:t>
      </w:r>
    </w:p>
    <w:p w14:paraId="2C5E6032" w14:textId="77777777" w:rsidR="00A805CD" w:rsidRPr="00A805CD" w:rsidRDefault="00A805CD" w:rsidP="00A63B50">
      <w:pPr>
        <w:widowControl w:val="0"/>
        <w:numPr>
          <w:ilvl w:val="0"/>
          <w:numId w:val="36"/>
        </w:numPr>
        <w:tabs>
          <w:tab w:val="left" w:pos="472"/>
        </w:tabs>
        <w:spacing w:line="276" w:lineRule="auto"/>
        <w:rPr>
          <w:rFonts w:ascii="Calibri" w:hAnsi="Calibri"/>
          <w:i/>
          <w:spacing w:val="-5"/>
          <w:szCs w:val="22"/>
        </w:rPr>
      </w:pPr>
      <w:r w:rsidRPr="00A805CD">
        <w:rPr>
          <w:rFonts w:ascii="Calibri" w:hAnsi="Calibri"/>
          <w:i/>
          <w:spacing w:val="-1"/>
          <w:szCs w:val="22"/>
        </w:rPr>
        <w:t xml:space="preserve">Please show quantitatively, including an Excel spreadsheet with formulas, the derivation of the -$XX.xx Projected Risk Adjustments PMPM amount found in Section III, Worksheet 1 of the URRT.    </w:t>
      </w:r>
      <w:r w:rsidRPr="00A805CD">
        <w:rPr>
          <w:rFonts w:ascii="Calibri" w:hAnsi="Calibri"/>
          <w:i/>
          <w:spacing w:val="-5"/>
          <w:szCs w:val="22"/>
        </w:rPr>
        <w:t xml:space="preserve">Please provide a detailed narrative that describers the development of the estimated risk adjustment transfer payment.  In demonstrating the development of the transfer payment, please show all risk transfer formula components, the estimated market-wide average risk assumptions as well as support for those assumptions.  When responding to this data call, you may redact this response as it will contain proprietary information.  </w:t>
      </w:r>
      <w:r w:rsidRPr="00A805CD">
        <w:rPr>
          <w:rFonts w:ascii="Calibri" w:hAnsi="Calibri"/>
          <w:i/>
          <w:spacing w:val="-1"/>
          <w:szCs w:val="22"/>
        </w:rPr>
        <w:t>Since this response should include detailed insight into the risk adjustment transfer methodology, you may redact this response.</w:t>
      </w:r>
      <w:r w:rsidRPr="00A805CD">
        <w:rPr>
          <w:rFonts w:ascii="Calibri" w:hAnsi="Calibri"/>
          <w:i/>
          <w:spacing w:val="-5"/>
          <w:szCs w:val="22"/>
        </w:rPr>
        <w:t xml:space="preserve"> </w:t>
      </w:r>
    </w:p>
    <w:p w14:paraId="3B9D1EC1" w14:textId="77777777" w:rsidR="00A805CD" w:rsidRPr="00A805CD" w:rsidRDefault="00A805CD" w:rsidP="00A63B50">
      <w:pPr>
        <w:numPr>
          <w:ilvl w:val="0"/>
          <w:numId w:val="36"/>
        </w:numPr>
        <w:spacing w:line="276" w:lineRule="auto"/>
        <w:rPr>
          <w:rFonts w:ascii="Calibri" w:hAnsi="Calibri"/>
          <w:spacing w:val="-5"/>
          <w:szCs w:val="22"/>
        </w:rPr>
      </w:pPr>
      <w:r w:rsidRPr="00A805CD">
        <w:rPr>
          <w:rFonts w:ascii="Calibri" w:hAnsi="Calibri"/>
          <w:spacing w:val="-5"/>
          <w:szCs w:val="22"/>
        </w:rPr>
        <w:t>Provide support for the Paid to Allowed Average Factor in Projection Period for the market, shown in Worksheet 1, Section III. Demonstrate that the ratio is consistent with membership projections by plan included in Worksheet 2. The ratio for each plan should be relatively consistent with the metallic AV for the plan to which the actuary is attesting, however it is recognized that they may not be exactly the same due to differences between the issuer’s experience and the experience underlying the AV Calculator.</w:t>
      </w:r>
    </w:p>
    <w:p w14:paraId="42E1687E" w14:textId="77777777" w:rsidR="00A805CD" w:rsidRDefault="00A805CD" w:rsidP="00A63B50">
      <w:pPr>
        <w:numPr>
          <w:ilvl w:val="0"/>
          <w:numId w:val="36"/>
        </w:numPr>
        <w:spacing w:line="276" w:lineRule="auto"/>
        <w:rPr>
          <w:rFonts w:ascii="Calibri" w:hAnsi="Calibri"/>
          <w:i/>
          <w:spacing w:val="-5"/>
          <w:szCs w:val="22"/>
        </w:rPr>
      </w:pPr>
      <w:r w:rsidRPr="00A805CD">
        <w:rPr>
          <w:rFonts w:ascii="Calibri" w:hAnsi="Calibri"/>
          <w:i/>
          <w:spacing w:val="-5"/>
          <w:szCs w:val="22"/>
        </w:rPr>
        <w:t>Please show the development of the Exchange user fee.</w:t>
      </w:r>
    </w:p>
    <w:p w14:paraId="41876E59" w14:textId="77777777" w:rsidR="00A805CD" w:rsidRDefault="00A805CD" w:rsidP="00A805CD">
      <w:pPr>
        <w:widowControl w:val="0"/>
        <w:tabs>
          <w:tab w:val="left" w:pos="810"/>
        </w:tabs>
        <w:spacing w:line="276" w:lineRule="auto"/>
        <w:jc w:val="both"/>
        <w:rPr>
          <w:rFonts w:ascii="Calibri" w:hAnsi="Calibri"/>
          <w:i/>
          <w:szCs w:val="22"/>
        </w:rPr>
      </w:pPr>
    </w:p>
    <w:p w14:paraId="6C1BEB29" w14:textId="6D8FE49E" w:rsidR="00A805CD" w:rsidRPr="00A805CD" w:rsidRDefault="00A805CD" w:rsidP="00A805CD">
      <w:pPr>
        <w:widowControl w:val="0"/>
        <w:tabs>
          <w:tab w:val="left" w:pos="810"/>
        </w:tabs>
        <w:spacing w:line="276" w:lineRule="auto"/>
        <w:jc w:val="both"/>
        <w:rPr>
          <w:rFonts w:ascii="Calibri" w:hAnsi="Calibri"/>
          <w:szCs w:val="22"/>
          <w:u w:val="single"/>
        </w:rPr>
      </w:pPr>
      <w:r w:rsidRPr="00A805CD">
        <w:rPr>
          <w:rFonts w:ascii="Calibri" w:hAnsi="Calibri"/>
          <w:szCs w:val="22"/>
          <w:u w:val="single"/>
        </w:rPr>
        <w:t>Table 6</w:t>
      </w:r>
    </w:p>
    <w:p w14:paraId="06197677" w14:textId="77777777" w:rsidR="00A805CD" w:rsidRPr="00A805CD" w:rsidRDefault="00A805CD" w:rsidP="00A63B50">
      <w:pPr>
        <w:numPr>
          <w:ilvl w:val="0"/>
          <w:numId w:val="36"/>
        </w:numPr>
        <w:spacing w:line="276" w:lineRule="auto"/>
        <w:rPr>
          <w:rFonts w:ascii="Calibri" w:hAnsi="Calibri"/>
          <w:spacing w:val="-5"/>
          <w:szCs w:val="22"/>
        </w:rPr>
      </w:pPr>
      <w:r w:rsidRPr="00A805CD">
        <w:rPr>
          <w:rFonts w:ascii="Calibri" w:hAnsi="Calibri"/>
          <w:spacing w:val="-5"/>
          <w:szCs w:val="22"/>
        </w:rPr>
        <w:t>Table 6 requests separate reporting of general and claims administrative expenses and agent/broker commissions. Company has combined these expenses.  Please provide separately.</w:t>
      </w:r>
    </w:p>
    <w:p w14:paraId="19E25C5E" w14:textId="77777777" w:rsidR="00A805CD" w:rsidRPr="00A805CD" w:rsidRDefault="00A805CD" w:rsidP="00A63B50">
      <w:pPr>
        <w:numPr>
          <w:ilvl w:val="0"/>
          <w:numId w:val="36"/>
        </w:numPr>
        <w:spacing w:line="276" w:lineRule="auto"/>
        <w:rPr>
          <w:rFonts w:ascii="Calibri" w:hAnsi="Calibri"/>
          <w:spacing w:val="-5"/>
          <w:szCs w:val="22"/>
        </w:rPr>
      </w:pPr>
      <w:r w:rsidRPr="00A805CD">
        <w:rPr>
          <w:rFonts w:ascii="Calibri" w:hAnsi="Calibri"/>
          <w:spacing w:val="-5"/>
          <w:szCs w:val="22"/>
        </w:rPr>
        <w:t>Expenses for Quality Improv</w:t>
      </w:r>
      <w:bookmarkStart w:id="269" w:name="_GoBack"/>
      <w:bookmarkEnd w:id="269"/>
      <w:r w:rsidRPr="00A805CD">
        <w:rPr>
          <w:rFonts w:ascii="Calibri" w:hAnsi="Calibri"/>
          <w:spacing w:val="-5"/>
          <w:szCs w:val="22"/>
        </w:rPr>
        <w:t>ement Initiatives are included in the general and claims administrative percentage and were not broken out separately.  Please modify Table 6 to separately identify, as requested in the Table.</w:t>
      </w:r>
    </w:p>
    <w:p w14:paraId="1BFE5146" w14:textId="77777777" w:rsidR="00A805CD" w:rsidRPr="00A805CD" w:rsidRDefault="00A805CD" w:rsidP="00A63B50">
      <w:pPr>
        <w:numPr>
          <w:ilvl w:val="0"/>
          <w:numId w:val="36"/>
        </w:numPr>
        <w:spacing w:line="276" w:lineRule="auto"/>
        <w:rPr>
          <w:rFonts w:ascii="Calibri" w:hAnsi="Calibri"/>
          <w:spacing w:val="-5"/>
          <w:szCs w:val="22"/>
        </w:rPr>
      </w:pPr>
      <w:r w:rsidRPr="00A805CD">
        <w:rPr>
          <w:rFonts w:ascii="Calibri" w:hAnsi="Calibri"/>
          <w:spacing w:val="-5"/>
          <w:szCs w:val="22"/>
        </w:rPr>
        <w:t>Please provide the actual and projected (according to the approved rate filing) general administrative expense, claims expense, agent/broker fees and commissions, and Quality Improvement Initiatives for calendar years 2014 and 2015 and the year to date 2016.  If aggregate numbers were provided and approved in prior year filings, show the allocated amount of each.</w:t>
      </w:r>
    </w:p>
    <w:p w14:paraId="0680BD14" w14:textId="77777777" w:rsidR="00A805CD" w:rsidRPr="00A805CD" w:rsidRDefault="00A805CD" w:rsidP="00A63B50">
      <w:pPr>
        <w:numPr>
          <w:ilvl w:val="0"/>
          <w:numId w:val="36"/>
        </w:numPr>
        <w:spacing w:line="276" w:lineRule="auto"/>
        <w:rPr>
          <w:rFonts w:ascii="Calibri" w:hAnsi="Calibri"/>
          <w:spacing w:val="-5"/>
          <w:szCs w:val="22"/>
        </w:rPr>
      </w:pPr>
      <w:r w:rsidRPr="00A805CD">
        <w:rPr>
          <w:rFonts w:ascii="Calibri" w:hAnsi="Calibri"/>
          <w:spacing w:val="-5"/>
          <w:szCs w:val="22"/>
        </w:rPr>
        <w:t>Provide support for all expenses that do not reflect payments made to providers under the contract for covered medical services. Describe the methodology used for developing the estimate of these non-benefit expenses expected during the projection period for the applicable market, including any allocation of corporate overhead.</w:t>
      </w:r>
    </w:p>
    <w:p w14:paraId="13E26928" w14:textId="77777777" w:rsidR="00A805CD" w:rsidRPr="00A805CD" w:rsidRDefault="00A805CD" w:rsidP="00A63B50">
      <w:pPr>
        <w:numPr>
          <w:ilvl w:val="0"/>
          <w:numId w:val="36"/>
        </w:numPr>
        <w:spacing w:line="276" w:lineRule="auto"/>
        <w:rPr>
          <w:rFonts w:ascii="Calibri" w:hAnsi="Calibri"/>
          <w:i/>
          <w:spacing w:val="-5"/>
          <w:szCs w:val="22"/>
        </w:rPr>
      </w:pPr>
      <w:r w:rsidRPr="00A805CD">
        <w:rPr>
          <w:rFonts w:ascii="Calibri" w:hAnsi="Calibri"/>
          <w:i/>
          <w:spacing w:val="-5"/>
          <w:szCs w:val="22"/>
        </w:rPr>
        <w:t>Regarding broker commissions:</w:t>
      </w:r>
    </w:p>
    <w:p w14:paraId="6FE8E28B" w14:textId="77777777" w:rsidR="00A805CD" w:rsidRPr="00A805CD" w:rsidRDefault="00A805CD" w:rsidP="00A63B50">
      <w:pPr>
        <w:numPr>
          <w:ilvl w:val="0"/>
          <w:numId w:val="35"/>
        </w:numPr>
        <w:spacing w:line="276" w:lineRule="auto"/>
        <w:rPr>
          <w:rFonts w:ascii="Calibri" w:hAnsi="Calibri"/>
          <w:i/>
          <w:spacing w:val="-5"/>
          <w:szCs w:val="22"/>
        </w:rPr>
      </w:pPr>
      <w:r w:rsidRPr="00A805CD">
        <w:rPr>
          <w:rFonts w:ascii="Calibri" w:hAnsi="Calibri"/>
          <w:i/>
          <w:spacing w:val="-5"/>
          <w:szCs w:val="22"/>
        </w:rPr>
        <w:t xml:space="preserve">Under what circumstances and in what geographic locations will commissions be paid? </w:t>
      </w:r>
    </w:p>
    <w:p w14:paraId="5447E57B" w14:textId="77777777" w:rsidR="00A805CD" w:rsidRPr="00A805CD" w:rsidRDefault="00A805CD" w:rsidP="00A63B50">
      <w:pPr>
        <w:numPr>
          <w:ilvl w:val="0"/>
          <w:numId w:val="35"/>
        </w:numPr>
        <w:spacing w:line="276" w:lineRule="auto"/>
        <w:rPr>
          <w:rFonts w:ascii="Calibri" w:hAnsi="Calibri"/>
          <w:i/>
          <w:spacing w:val="-5"/>
          <w:szCs w:val="22"/>
        </w:rPr>
      </w:pPr>
      <w:r w:rsidRPr="00A805CD">
        <w:rPr>
          <w:rFonts w:ascii="Calibri" w:hAnsi="Calibri"/>
          <w:i/>
          <w:spacing w:val="-5"/>
          <w:szCs w:val="22"/>
        </w:rPr>
        <w:t xml:space="preserve">Are commissions paid for SEP? </w:t>
      </w:r>
    </w:p>
    <w:p w14:paraId="653B8A9B" w14:textId="77777777" w:rsidR="00A805CD" w:rsidRPr="00A805CD" w:rsidRDefault="00A805CD" w:rsidP="00A63B50">
      <w:pPr>
        <w:numPr>
          <w:ilvl w:val="0"/>
          <w:numId w:val="35"/>
        </w:numPr>
        <w:spacing w:line="276" w:lineRule="auto"/>
        <w:rPr>
          <w:rFonts w:ascii="Calibri" w:hAnsi="Calibri"/>
          <w:i/>
          <w:spacing w:val="-5"/>
          <w:szCs w:val="22"/>
        </w:rPr>
      </w:pPr>
      <w:r w:rsidRPr="00A805CD">
        <w:rPr>
          <w:rFonts w:ascii="Calibri" w:hAnsi="Calibri"/>
          <w:i/>
          <w:spacing w:val="-5"/>
          <w:szCs w:val="22"/>
        </w:rPr>
        <w:t>Provide a copy of the broker agreement - current and 2017.</w:t>
      </w:r>
    </w:p>
    <w:p w14:paraId="38413DDE" w14:textId="77777777" w:rsidR="00A805CD" w:rsidRPr="00A805CD" w:rsidRDefault="00A805CD" w:rsidP="00A63B50">
      <w:pPr>
        <w:numPr>
          <w:ilvl w:val="0"/>
          <w:numId w:val="35"/>
        </w:numPr>
        <w:spacing w:line="276" w:lineRule="auto"/>
        <w:rPr>
          <w:rFonts w:ascii="Calibri" w:hAnsi="Calibri"/>
          <w:i/>
          <w:spacing w:val="-5"/>
          <w:szCs w:val="22"/>
        </w:rPr>
      </w:pPr>
      <w:r w:rsidRPr="00A805CD">
        <w:rPr>
          <w:rFonts w:ascii="Calibri" w:hAnsi="Calibri"/>
          <w:i/>
          <w:spacing w:val="-5"/>
          <w:szCs w:val="22"/>
        </w:rPr>
        <w:t>Show the calculation of the average commission - current and 2017.</w:t>
      </w:r>
    </w:p>
    <w:p w14:paraId="39EF3428" w14:textId="77777777" w:rsidR="00A805CD" w:rsidRPr="00A805CD" w:rsidRDefault="00A805CD" w:rsidP="00A805CD">
      <w:pPr>
        <w:widowControl w:val="0"/>
        <w:tabs>
          <w:tab w:val="left" w:pos="810"/>
        </w:tabs>
        <w:spacing w:line="276" w:lineRule="auto"/>
        <w:ind w:left="720"/>
        <w:jc w:val="both"/>
        <w:rPr>
          <w:rFonts w:ascii="Calibri" w:hAnsi="Calibri"/>
          <w:i/>
          <w:szCs w:val="22"/>
        </w:rPr>
      </w:pPr>
      <w:r w:rsidRPr="00A805CD">
        <w:rPr>
          <w:rFonts w:ascii="Calibri" w:hAnsi="Calibri"/>
          <w:i/>
          <w:szCs w:val="22"/>
        </w:rPr>
        <w:t>Since this response should include detailed insight into the broker commission, you may redact this response.</w:t>
      </w:r>
    </w:p>
    <w:p w14:paraId="28B0B973" w14:textId="77777777" w:rsidR="00A805CD" w:rsidRPr="00A805CD" w:rsidRDefault="00A805CD" w:rsidP="00A805CD">
      <w:pPr>
        <w:widowControl w:val="0"/>
        <w:tabs>
          <w:tab w:val="left" w:pos="810"/>
        </w:tabs>
        <w:spacing w:line="276" w:lineRule="auto"/>
        <w:jc w:val="both"/>
        <w:rPr>
          <w:rFonts w:ascii="Calibri" w:hAnsi="Calibri"/>
          <w:szCs w:val="22"/>
        </w:rPr>
      </w:pPr>
    </w:p>
    <w:p w14:paraId="2F65947C" w14:textId="66FE25B2" w:rsidR="00A805CD" w:rsidRPr="00A805CD" w:rsidRDefault="00A805CD" w:rsidP="00A805CD">
      <w:pPr>
        <w:widowControl w:val="0"/>
        <w:tabs>
          <w:tab w:val="left" w:pos="810"/>
        </w:tabs>
        <w:spacing w:line="276" w:lineRule="auto"/>
        <w:jc w:val="both"/>
        <w:rPr>
          <w:rFonts w:ascii="Calibri" w:hAnsi="Calibri"/>
          <w:szCs w:val="22"/>
          <w:u w:val="single"/>
        </w:rPr>
      </w:pPr>
      <w:r w:rsidRPr="00A805CD">
        <w:rPr>
          <w:rFonts w:ascii="Calibri" w:hAnsi="Calibri"/>
          <w:szCs w:val="22"/>
          <w:u w:val="single"/>
        </w:rPr>
        <w:t>Table 10</w:t>
      </w:r>
    </w:p>
    <w:p w14:paraId="5CD174BA" w14:textId="77777777" w:rsidR="00A805CD" w:rsidRPr="00A805CD" w:rsidRDefault="00A805CD" w:rsidP="00A63B50">
      <w:pPr>
        <w:numPr>
          <w:ilvl w:val="0"/>
          <w:numId w:val="36"/>
        </w:numPr>
        <w:spacing w:line="276" w:lineRule="auto"/>
        <w:rPr>
          <w:rFonts w:ascii="Calibri" w:hAnsi="Calibri"/>
          <w:i/>
          <w:spacing w:val="-5"/>
          <w:szCs w:val="22"/>
        </w:rPr>
      </w:pPr>
      <w:r w:rsidRPr="00A805CD">
        <w:rPr>
          <w:rFonts w:ascii="Calibri" w:hAnsi="Calibri"/>
          <w:i/>
          <w:spacing w:val="-5"/>
          <w:szCs w:val="22"/>
        </w:rPr>
        <w:t>Please show quantitatively, including an Excel spreadsheet with formulas, the derivation of the Age, Geographic and Tobacco Calibration Factor.</w:t>
      </w:r>
    </w:p>
    <w:p w14:paraId="6A77E98C" w14:textId="77777777" w:rsidR="00A805CD" w:rsidRPr="00A805CD" w:rsidRDefault="00A805CD" w:rsidP="00A63B50">
      <w:pPr>
        <w:widowControl w:val="0"/>
        <w:numPr>
          <w:ilvl w:val="0"/>
          <w:numId w:val="36"/>
        </w:numPr>
        <w:tabs>
          <w:tab w:val="left" w:pos="810"/>
        </w:tabs>
        <w:autoSpaceDE w:val="0"/>
        <w:autoSpaceDN w:val="0"/>
        <w:adjustRightInd w:val="0"/>
        <w:spacing w:line="276" w:lineRule="auto"/>
        <w:jc w:val="both"/>
        <w:rPr>
          <w:rFonts w:ascii="Calibri" w:eastAsia="Calibri" w:hAnsi="Calibri"/>
          <w:i/>
          <w:color w:val="000000"/>
          <w:szCs w:val="22"/>
        </w:rPr>
      </w:pPr>
      <w:r w:rsidRPr="00A805CD">
        <w:rPr>
          <w:rFonts w:ascii="Calibri" w:eastAsia="Calibri" w:hAnsi="Calibri"/>
          <w:i/>
          <w:color w:val="000000"/>
          <w:szCs w:val="22"/>
        </w:rPr>
        <w:t>Please show quantitatively that plan premiums are in proportion to the plan AV Pricing Values.</w:t>
      </w:r>
    </w:p>
    <w:p w14:paraId="154781DE" w14:textId="77777777" w:rsidR="00A805CD" w:rsidRPr="00A805CD" w:rsidRDefault="00A805CD" w:rsidP="00A63B50">
      <w:pPr>
        <w:numPr>
          <w:ilvl w:val="0"/>
          <w:numId w:val="36"/>
        </w:numPr>
        <w:tabs>
          <w:tab w:val="left" w:pos="900"/>
        </w:tabs>
        <w:spacing w:line="276" w:lineRule="auto"/>
        <w:jc w:val="both"/>
        <w:rPr>
          <w:rFonts w:ascii="Calibri" w:eastAsia="Calibri" w:hAnsi="Calibri"/>
          <w:szCs w:val="22"/>
        </w:rPr>
      </w:pPr>
      <w:r w:rsidRPr="00A805CD">
        <w:rPr>
          <w:rFonts w:ascii="Calibri" w:hAnsi="Calibri"/>
          <w:szCs w:val="22"/>
        </w:rPr>
        <w:lastRenderedPageBreak/>
        <w:t>Quantitatively show how the average factors in Table 10 row 13 have been normalized.</w:t>
      </w:r>
    </w:p>
    <w:p w14:paraId="734DEB9A" w14:textId="77777777" w:rsidR="00A805CD" w:rsidRPr="00A805CD" w:rsidRDefault="00A805CD" w:rsidP="00A63B50">
      <w:pPr>
        <w:numPr>
          <w:ilvl w:val="0"/>
          <w:numId w:val="36"/>
        </w:numPr>
        <w:spacing w:line="276" w:lineRule="auto"/>
        <w:rPr>
          <w:rFonts w:ascii="Calibri" w:hAnsi="Calibri"/>
          <w:i/>
          <w:spacing w:val="-5"/>
          <w:szCs w:val="22"/>
        </w:rPr>
      </w:pPr>
      <w:r w:rsidRPr="00A805CD">
        <w:rPr>
          <w:rFonts w:ascii="Calibri" w:hAnsi="Calibri"/>
          <w:i/>
          <w:spacing w:val="-5"/>
          <w:szCs w:val="22"/>
        </w:rPr>
        <w:t>Induced Utilization</w:t>
      </w:r>
    </w:p>
    <w:p w14:paraId="0F545781" w14:textId="77777777" w:rsidR="00A805CD" w:rsidRPr="00A805CD" w:rsidRDefault="00A805CD" w:rsidP="00A63B50">
      <w:pPr>
        <w:widowControl w:val="0"/>
        <w:numPr>
          <w:ilvl w:val="1"/>
          <w:numId w:val="19"/>
        </w:numPr>
        <w:tabs>
          <w:tab w:val="left" w:pos="1192"/>
        </w:tabs>
        <w:spacing w:line="276" w:lineRule="auto"/>
        <w:ind w:right="434"/>
        <w:rPr>
          <w:rFonts w:ascii="Calibri" w:hAnsi="Calibri"/>
          <w:i/>
          <w:spacing w:val="-5"/>
          <w:szCs w:val="22"/>
        </w:rPr>
      </w:pPr>
      <w:r w:rsidRPr="00A805CD">
        <w:rPr>
          <w:rFonts w:ascii="Calibri" w:hAnsi="Calibri"/>
          <w:i/>
          <w:spacing w:val="-5"/>
          <w:szCs w:val="22"/>
        </w:rPr>
        <w:t>Please complete the table below for all plans, and confirm that the ratio in column (8) represents the induced utilization for each plan.</w:t>
      </w:r>
    </w:p>
    <w:p w14:paraId="31AD9A59" w14:textId="77777777" w:rsidR="00A805CD" w:rsidRPr="00A805CD" w:rsidRDefault="00A805CD" w:rsidP="00A805CD">
      <w:pPr>
        <w:widowControl w:val="0"/>
        <w:tabs>
          <w:tab w:val="left" w:pos="1192"/>
        </w:tabs>
        <w:spacing w:line="276" w:lineRule="auto"/>
        <w:ind w:right="434"/>
        <w:rPr>
          <w:rFonts w:ascii="Calibri" w:hAnsi="Calibri"/>
          <w:i/>
          <w:spacing w:val="-5"/>
          <w:szCs w:val="22"/>
        </w:rPr>
      </w:pPr>
    </w:p>
    <w:tbl>
      <w:tblPr>
        <w:tblStyle w:val="TableGrid2"/>
        <w:tblW w:w="0" w:type="auto"/>
        <w:tblLook w:val="04A0" w:firstRow="1" w:lastRow="0" w:firstColumn="1" w:lastColumn="0" w:noHBand="0" w:noVBand="1"/>
      </w:tblPr>
      <w:tblGrid>
        <w:gridCol w:w="1160"/>
        <w:gridCol w:w="1162"/>
        <w:gridCol w:w="1205"/>
        <w:gridCol w:w="1166"/>
        <w:gridCol w:w="1166"/>
        <w:gridCol w:w="1516"/>
        <w:gridCol w:w="1260"/>
        <w:gridCol w:w="715"/>
      </w:tblGrid>
      <w:tr w:rsidR="00A805CD" w:rsidRPr="00A805CD" w14:paraId="76797931" w14:textId="77777777" w:rsidTr="00D6470D">
        <w:tc>
          <w:tcPr>
            <w:tcW w:w="1160" w:type="dxa"/>
          </w:tcPr>
          <w:p w14:paraId="6C0721CB"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Plan ID</w:t>
            </w:r>
          </w:p>
        </w:tc>
        <w:tc>
          <w:tcPr>
            <w:tcW w:w="1162" w:type="dxa"/>
          </w:tcPr>
          <w:p w14:paraId="68A8644D"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Metal Level</w:t>
            </w:r>
          </w:p>
        </w:tc>
        <w:tc>
          <w:tcPr>
            <w:tcW w:w="1205" w:type="dxa"/>
          </w:tcPr>
          <w:p w14:paraId="1F1CCC0B"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Projected Membership</w:t>
            </w:r>
          </w:p>
        </w:tc>
        <w:tc>
          <w:tcPr>
            <w:tcW w:w="1166" w:type="dxa"/>
          </w:tcPr>
          <w:p w14:paraId="2ECC9551"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Projected Allowed</w:t>
            </w:r>
          </w:p>
        </w:tc>
        <w:tc>
          <w:tcPr>
            <w:tcW w:w="1166" w:type="dxa"/>
          </w:tcPr>
          <w:p w14:paraId="79891DAA"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Projected Paid Claims</w:t>
            </w:r>
          </w:p>
        </w:tc>
        <w:tc>
          <w:tcPr>
            <w:tcW w:w="1516" w:type="dxa"/>
          </w:tcPr>
          <w:p w14:paraId="1C43E969"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Paid-to-Allowed Factor</w:t>
            </w:r>
          </w:p>
        </w:tc>
        <w:tc>
          <w:tcPr>
            <w:tcW w:w="1260" w:type="dxa"/>
          </w:tcPr>
          <w:p w14:paraId="745E3549"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AV &amp; Cost Factor</w:t>
            </w:r>
          </w:p>
        </w:tc>
        <w:tc>
          <w:tcPr>
            <w:tcW w:w="715" w:type="dxa"/>
          </w:tcPr>
          <w:p w14:paraId="5D2F310C"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(7)/(6)</w:t>
            </w:r>
          </w:p>
        </w:tc>
      </w:tr>
      <w:tr w:rsidR="00A805CD" w:rsidRPr="00A805CD" w14:paraId="3A7742AD" w14:textId="77777777" w:rsidTr="00D6470D">
        <w:tc>
          <w:tcPr>
            <w:tcW w:w="1160" w:type="dxa"/>
          </w:tcPr>
          <w:p w14:paraId="2D2B32DB"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(1)</w:t>
            </w:r>
          </w:p>
        </w:tc>
        <w:tc>
          <w:tcPr>
            <w:tcW w:w="1162" w:type="dxa"/>
          </w:tcPr>
          <w:p w14:paraId="6D4ABE51"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(2)</w:t>
            </w:r>
          </w:p>
        </w:tc>
        <w:tc>
          <w:tcPr>
            <w:tcW w:w="1205" w:type="dxa"/>
          </w:tcPr>
          <w:p w14:paraId="6774238F"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(3)</w:t>
            </w:r>
          </w:p>
        </w:tc>
        <w:tc>
          <w:tcPr>
            <w:tcW w:w="1166" w:type="dxa"/>
          </w:tcPr>
          <w:p w14:paraId="6D8501C8"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(4)</w:t>
            </w:r>
          </w:p>
        </w:tc>
        <w:tc>
          <w:tcPr>
            <w:tcW w:w="1166" w:type="dxa"/>
          </w:tcPr>
          <w:p w14:paraId="22A257E2"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(5)</w:t>
            </w:r>
          </w:p>
        </w:tc>
        <w:tc>
          <w:tcPr>
            <w:tcW w:w="1516" w:type="dxa"/>
          </w:tcPr>
          <w:p w14:paraId="49124740"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(6)</w:t>
            </w:r>
          </w:p>
        </w:tc>
        <w:tc>
          <w:tcPr>
            <w:tcW w:w="1260" w:type="dxa"/>
          </w:tcPr>
          <w:p w14:paraId="5D444D65"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(7)</w:t>
            </w:r>
          </w:p>
        </w:tc>
        <w:tc>
          <w:tcPr>
            <w:tcW w:w="715" w:type="dxa"/>
          </w:tcPr>
          <w:p w14:paraId="205A1228" w14:textId="77777777" w:rsidR="00A805CD" w:rsidRPr="0084657A" w:rsidRDefault="00A805CD" w:rsidP="00A805CD">
            <w:pPr>
              <w:widowControl w:val="0"/>
              <w:spacing w:line="276" w:lineRule="auto"/>
              <w:jc w:val="center"/>
              <w:rPr>
                <w:i/>
                <w:spacing w:val="-5"/>
                <w:sz w:val="20"/>
                <w:szCs w:val="20"/>
              </w:rPr>
            </w:pPr>
            <w:r w:rsidRPr="0084657A">
              <w:rPr>
                <w:i/>
                <w:spacing w:val="-5"/>
                <w:sz w:val="20"/>
                <w:szCs w:val="20"/>
              </w:rPr>
              <w:t>(8)</w:t>
            </w:r>
          </w:p>
        </w:tc>
      </w:tr>
      <w:tr w:rsidR="00A805CD" w:rsidRPr="00A805CD" w14:paraId="04F7E7F8" w14:textId="77777777" w:rsidTr="00D6470D">
        <w:tc>
          <w:tcPr>
            <w:tcW w:w="1160" w:type="dxa"/>
          </w:tcPr>
          <w:p w14:paraId="0C45BEE4" w14:textId="77777777" w:rsidR="00A805CD" w:rsidRPr="0084657A" w:rsidRDefault="00A805CD" w:rsidP="00A805CD">
            <w:pPr>
              <w:widowControl w:val="0"/>
              <w:tabs>
                <w:tab w:val="left" w:pos="1192"/>
              </w:tabs>
              <w:spacing w:line="276" w:lineRule="auto"/>
              <w:ind w:right="434"/>
              <w:rPr>
                <w:i/>
                <w:spacing w:val="-5"/>
                <w:sz w:val="20"/>
                <w:szCs w:val="20"/>
              </w:rPr>
            </w:pPr>
            <w:r w:rsidRPr="0084657A">
              <w:rPr>
                <w:i/>
                <w:spacing w:val="-5"/>
                <w:sz w:val="20"/>
                <w:szCs w:val="20"/>
              </w:rPr>
              <w:t>xxxxxx</w:t>
            </w:r>
          </w:p>
        </w:tc>
        <w:tc>
          <w:tcPr>
            <w:tcW w:w="1162" w:type="dxa"/>
          </w:tcPr>
          <w:p w14:paraId="6AB8F4B6" w14:textId="77777777" w:rsidR="00A805CD" w:rsidRPr="0084657A" w:rsidRDefault="00A805CD" w:rsidP="00A805CD">
            <w:pPr>
              <w:widowControl w:val="0"/>
              <w:tabs>
                <w:tab w:val="left" w:pos="1192"/>
              </w:tabs>
              <w:spacing w:line="276" w:lineRule="auto"/>
              <w:ind w:right="434"/>
              <w:rPr>
                <w:i/>
                <w:spacing w:val="-5"/>
                <w:sz w:val="20"/>
                <w:szCs w:val="20"/>
              </w:rPr>
            </w:pPr>
          </w:p>
        </w:tc>
        <w:tc>
          <w:tcPr>
            <w:tcW w:w="1205" w:type="dxa"/>
          </w:tcPr>
          <w:p w14:paraId="5490D9AF" w14:textId="77777777" w:rsidR="00A805CD" w:rsidRPr="0084657A" w:rsidRDefault="00A805CD" w:rsidP="00A805CD">
            <w:pPr>
              <w:widowControl w:val="0"/>
              <w:tabs>
                <w:tab w:val="left" w:pos="1192"/>
              </w:tabs>
              <w:spacing w:line="276" w:lineRule="auto"/>
              <w:ind w:right="434"/>
              <w:rPr>
                <w:i/>
                <w:spacing w:val="-5"/>
                <w:sz w:val="20"/>
                <w:szCs w:val="20"/>
              </w:rPr>
            </w:pPr>
          </w:p>
        </w:tc>
        <w:tc>
          <w:tcPr>
            <w:tcW w:w="1166" w:type="dxa"/>
          </w:tcPr>
          <w:p w14:paraId="53FBFA2C" w14:textId="77777777" w:rsidR="00A805CD" w:rsidRPr="0084657A" w:rsidRDefault="00A805CD" w:rsidP="00A805CD">
            <w:pPr>
              <w:widowControl w:val="0"/>
              <w:tabs>
                <w:tab w:val="left" w:pos="1192"/>
              </w:tabs>
              <w:spacing w:line="276" w:lineRule="auto"/>
              <w:ind w:right="434"/>
              <w:rPr>
                <w:i/>
                <w:spacing w:val="-5"/>
                <w:sz w:val="20"/>
                <w:szCs w:val="20"/>
              </w:rPr>
            </w:pPr>
          </w:p>
        </w:tc>
        <w:tc>
          <w:tcPr>
            <w:tcW w:w="1166" w:type="dxa"/>
          </w:tcPr>
          <w:p w14:paraId="04B93D89" w14:textId="77777777" w:rsidR="00A805CD" w:rsidRPr="0084657A" w:rsidRDefault="00A805CD" w:rsidP="00A805CD">
            <w:pPr>
              <w:widowControl w:val="0"/>
              <w:tabs>
                <w:tab w:val="left" w:pos="1192"/>
              </w:tabs>
              <w:spacing w:line="276" w:lineRule="auto"/>
              <w:ind w:right="434"/>
              <w:rPr>
                <w:i/>
                <w:spacing w:val="-5"/>
                <w:sz w:val="20"/>
                <w:szCs w:val="20"/>
              </w:rPr>
            </w:pPr>
          </w:p>
        </w:tc>
        <w:tc>
          <w:tcPr>
            <w:tcW w:w="1516" w:type="dxa"/>
          </w:tcPr>
          <w:p w14:paraId="517A5230" w14:textId="77777777" w:rsidR="00A805CD" w:rsidRPr="0084657A" w:rsidRDefault="00A805CD" w:rsidP="00A805CD">
            <w:pPr>
              <w:widowControl w:val="0"/>
              <w:tabs>
                <w:tab w:val="left" w:pos="1192"/>
              </w:tabs>
              <w:spacing w:line="276" w:lineRule="auto"/>
              <w:ind w:right="434"/>
              <w:rPr>
                <w:i/>
                <w:spacing w:val="-5"/>
                <w:sz w:val="20"/>
                <w:szCs w:val="20"/>
              </w:rPr>
            </w:pPr>
          </w:p>
        </w:tc>
        <w:tc>
          <w:tcPr>
            <w:tcW w:w="1260" w:type="dxa"/>
          </w:tcPr>
          <w:p w14:paraId="5CAFD5BA" w14:textId="77777777" w:rsidR="00A805CD" w:rsidRPr="0084657A" w:rsidRDefault="00A805CD" w:rsidP="00A805CD">
            <w:pPr>
              <w:widowControl w:val="0"/>
              <w:tabs>
                <w:tab w:val="left" w:pos="1192"/>
              </w:tabs>
              <w:spacing w:line="276" w:lineRule="auto"/>
              <w:ind w:right="434"/>
              <w:rPr>
                <w:i/>
                <w:spacing w:val="-5"/>
                <w:sz w:val="20"/>
                <w:szCs w:val="20"/>
              </w:rPr>
            </w:pPr>
          </w:p>
        </w:tc>
        <w:tc>
          <w:tcPr>
            <w:tcW w:w="715" w:type="dxa"/>
          </w:tcPr>
          <w:p w14:paraId="60A715B0" w14:textId="77777777" w:rsidR="00A805CD" w:rsidRPr="0084657A" w:rsidRDefault="00A805CD" w:rsidP="00A805CD">
            <w:pPr>
              <w:widowControl w:val="0"/>
              <w:tabs>
                <w:tab w:val="left" w:pos="1192"/>
              </w:tabs>
              <w:spacing w:line="276" w:lineRule="auto"/>
              <w:ind w:right="434"/>
              <w:rPr>
                <w:i/>
                <w:spacing w:val="-5"/>
                <w:sz w:val="20"/>
                <w:szCs w:val="20"/>
              </w:rPr>
            </w:pPr>
          </w:p>
        </w:tc>
      </w:tr>
      <w:tr w:rsidR="00A805CD" w:rsidRPr="00A805CD" w14:paraId="1A218EAB" w14:textId="77777777" w:rsidTr="00D6470D">
        <w:tc>
          <w:tcPr>
            <w:tcW w:w="1160" w:type="dxa"/>
          </w:tcPr>
          <w:p w14:paraId="358ABF34" w14:textId="77777777" w:rsidR="00A805CD" w:rsidRPr="0084657A" w:rsidRDefault="00A805CD" w:rsidP="00A805CD">
            <w:pPr>
              <w:widowControl w:val="0"/>
              <w:tabs>
                <w:tab w:val="left" w:pos="1192"/>
              </w:tabs>
              <w:spacing w:line="276" w:lineRule="auto"/>
              <w:ind w:right="434"/>
              <w:rPr>
                <w:i/>
                <w:spacing w:val="-5"/>
                <w:sz w:val="20"/>
                <w:szCs w:val="20"/>
              </w:rPr>
            </w:pPr>
            <w:r w:rsidRPr="0084657A">
              <w:rPr>
                <w:i/>
                <w:spacing w:val="-5"/>
                <w:sz w:val="20"/>
                <w:szCs w:val="20"/>
              </w:rPr>
              <w:t>xxxxxx</w:t>
            </w:r>
          </w:p>
        </w:tc>
        <w:tc>
          <w:tcPr>
            <w:tcW w:w="1162" w:type="dxa"/>
          </w:tcPr>
          <w:p w14:paraId="26D60AE1" w14:textId="77777777" w:rsidR="00A805CD" w:rsidRPr="0084657A" w:rsidRDefault="00A805CD" w:rsidP="00A805CD">
            <w:pPr>
              <w:widowControl w:val="0"/>
              <w:tabs>
                <w:tab w:val="left" w:pos="1192"/>
              </w:tabs>
              <w:spacing w:line="276" w:lineRule="auto"/>
              <w:ind w:right="434"/>
              <w:rPr>
                <w:i/>
                <w:spacing w:val="-5"/>
                <w:sz w:val="20"/>
                <w:szCs w:val="20"/>
              </w:rPr>
            </w:pPr>
          </w:p>
        </w:tc>
        <w:tc>
          <w:tcPr>
            <w:tcW w:w="1205" w:type="dxa"/>
          </w:tcPr>
          <w:p w14:paraId="7C6C1D2C" w14:textId="77777777" w:rsidR="00A805CD" w:rsidRPr="0084657A" w:rsidRDefault="00A805CD" w:rsidP="00A805CD">
            <w:pPr>
              <w:widowControl w:val="0"/>
              <w:tabs>
                <w:tab w:val="left" w:pos="1192"/>
              </w:tabs>
              <w:spacing w:line="276" w:lineRule="auto"/>
              <w:ind w:right="434"/>
              <w:rPr>
                <w:i/>
                <w:spacing w:val="-5"/>
                <w:sz w:val="20"/>
                <w:szCs w:val="20"/>
              </w:rPr>
            </w:pPr>
          </w:p>
        </w:tc>
        <w:tc>
          <w:tcPr>
            <w:tcW w:w="1166" w:type="dxa"/>
          </w:tcPr>
          <w:p w14:paraId="5AA80D1B" w14:textId="77777777" w:rsidR="00A805CD" w:rsidRPr="0084657A" w:rsidRDefault="00A805CD" w:rsidP="00A805CD">
            <w:pPr>
              <w:widowControl w:val="0"/>
              <w:tabs>
                <w:tab w:val="left" w:pos="1192"/>
              </w:tabs>
              <w:spacing w:line="276" w:lineRule="auto"/>
              <w:ind w:right="434"/>
              <w:rPr>
                <w:i/>
                <w:spacing w:val="-5"/>
                <w:sz w:val="20"/>
                <w:szCs w:val="20"/>
              </w:rPr>
            </w:pPr>
          </w:p>
        </w:tc>
        <w:tc>
          <w:tcPr>
            <w:tcW w:w="1166" w:type="dxa"/>
          </w:tcPr>
          <w:p w14:paraId="7C0BA2D7" w14:textId="77777777" w:rsidR="00A805CD" w:rsidRPr="0084657A" w:rsidRDefault="00A805CD" w:rsidP="00A805CD">
            <w:pPr>
              <w:widowControl w:val="0"/>
              <w:tabs>
                <w:tab w:val="left" w:pos="1192"/>
              </w:tabs>
              <w:spacing w:line="276" w:lineRule="auto"/>
              <w:ind w:right="434"/>
              <w:rPr>
                <w:i/>
                <w:spacing w:val="-5"/>
                <w:sz w:val="20"/>
                <w:szCs w:val="20"/>
              </w:rPr>
            </w:pPr>
          </w:p>
        </w:tc>
        <w:tc>
          <w:tcPr>
            <w:tcW w:w="1516" w:type="dxa"/>
          </w:tcPr>
          <w:p w14:paraId="657310BB" w14:textId="77777777" w:rsidR="00A805CD" w:rsidRPr="0084657A" w:rsidRDefault="00A805CD" w:rsidP="00A805CD">
            <w:pPr>
              <w:widowControl w:val="0"/>
              <w:tabs>
                <w:tab w:val="left" w:pos="1192"/>
              </w:tabs>
              <w:spacing w:line="276" w:lineRule="auto"/>
              <w:ind w:right="434"/>
              <w:rPr>
                <w:i/>
                <w:spacing w:val="-5"/>
                <w:sz w:val="20"/>
                <w:szCs w:val="20"/>
              </w:rPr>
            </w:pPr>
          </w:p>
        </w:tc>
        <w:tc>
          <w:tcPr>
            <w:tcW w:w="1260" w:type="dxa"/>
          </w:tcPr>
          <w:p w14:paraId="0A55D53E" w14:textId="77777777" w:rsidR="00A805CD" w:rsidRPr="0084657A" w:rsidRDefault="00A805CD" w:rsidP="00A805CD">
            <w:pPr>
              <w:widowControl w:val="0"/>
              <w:tabs>
                <w:tab w:val="left" w:pos="1192"/>
              </w:tabs>
              <w:spacing w:line="276" w:lineRule="auto"/>
              <w:ind w:right="434"/>
              <w:rPr>
                <w:i/>
                <w:spacing w:val="-5"/>
                <w:sz w:val="20"/>
                <w:szCs w:val="20"/>
              </w:rPr>
            </w:pPr>
          </w:p>
        </w:tc>
        <w:tc>
          <w:tcPr>
            <w:tcW w:w="715" w:type="dxa"/>
          </w:tcPr>
          <w:p w14:paraId="19E24FF1" w14:textId="77777777" w:rsidR="00A805CD" w:rsidRPr="0084657A" w:rsidRDefault="00A805CD" w:rsidP="00A805CD">
            <w:pPr>
              <w:widowControl w:val="0"/>
              <w:tabs>
                <w:tab w:val="left" w:pos="1192"/>
              </w:tabs>
              <w:spacing w:line="276" w:lineRule="auto"/>
              <w:ind w:right="434"/>
              <w:rPr>
                <w:i/>
                <w:spacing w:val="-5"/>
                <w:sz w:val="20"/>
                <w:szCs w:val="20"/>
              </w:rPr>
            </w:pPr>
          </w:p>
        </w:tc>
      </w:tr>
      <w:tr w:rsidR="00A805CD" w:rsidRPr="00A805CD" w14:paraId="6FDC8DD9" w14:textId="77777777" w:rsidTr="00D6470D">
        <w:tc>
          <w:tcPr>
            <w:tcW w:w="1160" w:type="dxa"/>
          </w:tcPr>
          <w:p w14:paraId="146AFFDB" w14:textId="77777777" w:rsidR="00A805CD" w:rsidRPr="0084657A" w:rsidRDefault="00A805CD" w:rsidP="00A805CD">
            <w:pPr>
              <w:widowControl w:val="0"/>
              <w:tabs>
                <w:tab w:val="left" w:pos="1192"/>
              </w:tabs>
              <w:spacing w:line="276" w:lineRule="auto"/>
              <w:ind w:right="434"/>
              <w:rPr>
                <w:i/>
                <w:spacing w:val="-5"/>
                <w:sz w:val="20"/>
                <w:szCs w:val="20"/>
              </w:rPr>
            </w:pPr>
            <w:r w:rsidRPr="0084657A">
              <w:rPr>
                <w:i/>
                <w:spacing w:val="-5"/>
                <w:sz w:val="20"/>
                <w:szCs w:val="20"/>
              </w:rPr>
              <w:t>Total</w:t>
            </w:r>
          </w:p>
        </w:tc>
        <w:tc>
          <w:tcPr>
            <w:tcW w:w="1162" w:type="dxa"/>
          </w:tcPr>
          <w:p w14:paraId="67E61DD8" w14:textId="77777777" w:rsidR="00A805CD" w:rsidRPr="0084657A" w:rsidRDefault="00A805CD" w:rsidP="00A805CD">
            <w:pPr>
              <w:widowControl w:val="0"/>
              <w:tabs>
                <w:tab w:val="left" w:pos="1192"/>
              </w:tabs>
              <w:spacing w:line="276" w:lineRule="auto"/>
              <w:ind w:right="434"/>
              <w:rPr>
                <w:i/>
                <w:spacing w:val="-5"/>
                <w:sz w:val="20"/>
                <w:szCs w:val="20"/>
              </w:rPr>
            </w:pPr>
          </w:p>
        </w:tc>
        <w:tc>
          <w:tcPr>
            <w:tcW w:w="1205" w:type="dxa"/>
          </w:tcPr>
          <w:p w14:paraId="0213C489" w14:textId="77777777" w:rsidR="00A805CD" w:rsidRPr="0084657A" w:rsidRDefault="00A805CD" w:rsidP="00A805CD">
            <w:pPr>
              <w:widowControl w:val="0"/>
              <w:tabs>
                <w:tab w:val="left" w:pos="1192"/>
              </w:tabs>
              <w:spacing w:line="276" w:lineRule="auto"/>
              <w:ind w:right="434"/>
              <w:rPr>
                <w:i/>
                <w:spacing w:val="-5"/>
                <w:sz w:val="20"/>
                <w:szCs w:val="20"/>
              </w:rPr>
            </w:pPr>
          </w:p>
        </w:tc>
        <w:tc>
          <w:tcPr>
            <w:tcW w:w="1166" w:type="dxa"/>
          </w:tcPr>
          <w:p w14:paraId="4B675FCF" w14:textId="77777777" w:rsidR="00A805CD" w:rsidRPr="0084657A" w:rsidRDefault="00A805CD" w:rsidP="00A805CD">
            <w:pPr>
              <w:widowControl w:val="0"/>
              <w:tabs>
                <w:tab w:val="left" w:pos="1192"/>
              </w:tabs>
              <w:spacing w:line="276" w:lineRule="auto"/>
              <w:ind w:right="434"/>
              <w:rPr>
                <w:i/>
                <w:spacing w:val="-5"/>
                <w:sz w:val="20"/>
                <w:szCs w:val="20"/>
              </w:rPr>
            </w:pPr>
          </w:p>
        </w:tc>
        <w:tc>
          <w:tcPr>
            <w:tcW w:w="1166" w:type="dxa"/>
          </w:tcPr>
          <w:p w14:paraId="57D37033" w14:textId="77777777" w:rsidR="00A805CD" w:rsidRPr="0084657A" w:rsidRDefault="00A805CD" w:rsidP="00A805CD">
            <w:pPr>
              <w:widowControl w:val="0"/>
              <w:tabs>
                <w:tab w:val="left" w:pos="1192"/>
              </w:tabs>
              <w:spacing w:line="276" w:lineRule="auto"/>
              <w:ind w:right="434"/>
              <w:rPr>
                <w:i/>
                <w:spacing w:val="-5"/>
                <w:sz w:val="20"/>
                <w:szCs w:val="20"/>
              </w:rPr>
            </w:pPr>
          </w:p>
        </w:tc>
        <w:tc>
          <w:tcPr>
            <w:tcW w:w="1516" w:type="dxa"/>
          </w:tcPr>
          <w:p w14:paraId="658449DD" w14:textId="77777777" w:rsidR="00A805CD" w:rsidRPr="0084657A" w:rsidRDefault="00A805CD" w:rsidP="00A805CD">
            <w:pPr>
              <w:widowControl w:val="0"/>
              <w:tabs>
                <w:tab w:val="left" w:pos="1192"/>
              </w:tabs>
              <w:spacing w:line="276" w:lineRule="auto"/>
              <w:ind w:right="434"/>
              <w:rPr>
                <w:i/>
                <w:spacing w:val="-5"/>
                <w:sz w:val="20"/>
                <w:szCs w:val="20"/>
              </w:rPr>
            </w:pPr>
          </w:p>
        </w:tc>
        <w:tc>
          <w:tcPr>
            <w:tcW w:w="1260" w:type="dxa"/>
          </w:tcPr>
          <w:p w14:paraId="1F128E5C" w14:textId="77777777" w:rsidR="00A805CD" w:rsidRPr="0084657A" w:rsidRDefault="00A805CD" w:rsidP="00A805CD">
            <w:pPr>
              <w:widowControl w:val="0"/>
              <w:tabs>
                <w:tab w:val="left" w:pos="1192"/>
              </w:tabs>
              <w:spacing w:line="276" w:lineRule="auto"/>
              <w:ind w:right="434"/>
              <w:rPr>
                <w:i/>
                <w:spacing w:val="-5"/>
                <w:sz w:val="20"/>
                <w:szCs w:val="20"/>
              </w:rPr>
            </w:pPr>
          </w:p>
        </w:tc>
        <w:tc>
          <w:tcPr>
            <w:tcW w:w="715" w:type="dxa"/>
          </w:tcPr>
          <w:p w14:paraId="25EC288E" w14:textId="77777777" w:rsidR="00A805CD" w:rsidRPr="0084657A" w:rsidRDefault="00A805CD" w:rsidP="00A805CD">
            <w:pPr>
              <w:widowControl w:val="0"/>
              <w:tabs>
                <w:tab w:val="left" w:pos="1192"/>
              </w:tabs>
              <w:spacing w:line="276" w:lineRule="auto"/>
              <w:ind w:right="434"/>
              <w:rPr>
                <w:i/>
                <w:spacing w:val="-5"/>
                <w:sz w:val="20"/>
                <w:szCs w:val="20"/>
              </w:rPr>
            </w:pPr>
          </w:p>
        </w:tc>
      </w:tr>
    </w:tbl>
    <w:p w14:paraId="7B3ABBDC" w14:textId="77777777" w:rsidR="00A805CD" w:rsidRPr="00A805CD" w:rsidRDefault="00A805CD" w:rsidP="00A805CD">
      <w:pPr>
        <w:widowControl w:val="0"/>
        <w:tabs>
          <w:tab w:val="left" w:pos="1192"/>
        </w:tabs>
        <w:spacing w:line="276" w:lineRule="auto"/>
        <w:ind w:left="1440" w:right="432"/>
        <w:rPr>
          <w:rFonts w:ascii="Calibri" w:hAnsi="Calibri"/>
          <w:i/>
          <w:spacing w:val="-5"/>
          <w:szCs w:val="22"/>
        </w:rPr>
      </w:pPr>
    </w:p>
    <w:p w14:paraId="1745D4D8" w14:textId="77777777" w:rsidR="00A805CD" w:rsidRPr="00A805CD" w:rsidRDefault="00A805CD" w:rsidP="00A63B50">
      <w:pPr>
        <w:widowControl w:val="0"/>
        <w:numPr>
          <w:ilvl w:val="1"/>
          <w:numId w:val="19"/>
        </w:numPr>
        <w:tabs>
          <w:tab w:val="left" w:pos="1192"/>
        </w:tabs>
        <w:spacing w:line="276" w:lineRule="auto"/>
        <w:ind w:right="432"/>
        <w:rPr>
          <w:rFonts w:ascii="Calibri" w:hAnsi="Calibri"/>
          <w:i/>
          <w:spacing w:val="-5"/>
          <w:szCs w:val="22"/>
        </w:rPr>
      </w:pPr>
      <w:r w:rsidRPr="00A805CD">
        <w:rPr>
          <w:rFonts w:ascii="Calibri" w:hAnsi="Calibri"/>
          <w:i/>
          <w:spacing w:val="-5"/>
          <w:szCs w:val="22"/>
        </w:rPr>
        <w:t>Please show quantitatively, including an Excel spreadsheet with formulas, the derivation of the AV and cost sharing factors for each plan.</w:t>
      </w:r>
    </w:p>
    <w:p w14:paraId="6D0327ED" w14:textId="77777777" w:rsidR="00A805CD" w:rsidRPr="00A805CD" w:rsidRDefault="00A805CD" w:rsidP="00A63B50">
      <w:pPr>
        <w:widowControl w:val="0"/>
        <w:numPr>
          <w:ilvl w:val="1"/>
          <w:numId w:val="19"/>
        </w:numPr>
        <w:tabs>
          <w:tab w:val="left" w:pos="1192"/>
        </w:tabs>
        <w:spacing w:line="276" w:lineRule="auto"/>
        <w:ind w:right="432"/>
        <w:rPr>
          <w:rFonts w:ascii="Calibri" w:hAnsi="Calibri"/>
          <w:i/>
          <w:spacing w:val="-5"/>
          <w:szCs w:val="22"/>
        </w:rPr>
      </w:pPr>
      <w:r w:rsidRPr="00A805CD">
        <w:rPr>
          <w:rFonts w:ascii="Calibri" w:hAnsi="Calibri"/>
          <w:i/>
          <w:spacing w:val="-5"/>
          <w:szCs w:val="22"/>
        </w:rPr>
        <w:t>Please provide any additional justification for induced utilization assumptions in the Company’s pricing.</w:t>
      </w:r>
    </w:p>
    <w:p w14:paraId="2D1F978D" w14:textId="77777777" w:rsidR="00A805CD" w:rsidRDefault="00A805CD" w:rsidP="00A63B50">
      <w:pPr>
        <w:widowControl w:val="0"/>
        <w:numPr>
          <w:ilvl w:val="1"/>
          <w:numId w:val="19"/>
        </w:numPr>
        <w:tabs>
          <w:tab w:val="left" w:pos="1192"/>
        </w:tabs>
        <w:spacing w:line="276" w:lineRule="auto"/>
        <w:ind w:right="432"/>
        <w:rPr>
          <w:rFonts w:ascii="Calibri" w:hAnsi="Calibri"/>
          <w:i/>
          <w:spacing w:val="-5"/>
          <w:szCs w:val="22"/>
        </w:rPr>
      </w:pPr>
      <w:r w:rsidRPr="00A805CD">
        <w:rPr>
          <w:rFonts w:ascii="Calibri" w:hAnsi="Calibri"/>
          <w:i/>
          <w:spacing w:val="-5"/>
          <w:szCs w:val="22"/>
        </w:rPr>
        <w:t>Please confirm that each plan’s induced utilization factor was normalized by an aggregate factor, and that the resulting sumproduct (against projected membership) produces a factor of 1.000. Please show the steps that demonstrate this.</w:t>
      </w:r>
    </w:p>
    <w:p w14:paraId="1CE550C5" w14:textId="77777777" w:rsidR="00A805CD" w:rsidRPr="00A805CD" w:rsidRDefault="00A805CD" w:rsidP="00A805CD">
      <w:pPr>
        <w:widowControl w:val="0"/>
        <w:tabs>
          <w:tab w:val="left" w:pos="1192"/>
        </w:tabs>
        <w:spacing w:line="276" w:lineRule="auto"/>
        <w:ind w:left="1440" w:right="432"/>
        <w:rPr>
          <w:rFonts w:ascii="Calibri" w:hAnsi="Calibri"/>
          <w:i/>
          <w:spacing w:val="-5"/>
          <w:szCs w:val="22"/>
        </w:rPr>
      </w:pPr>
    </w:p>
    <w:p w14:paraId="3005B7CB" w14:textId="77777777" w:rsidR="00A805CD" w:rsidRPr="00A805CD" w:rsidRDefault="00A805CD" w:rsidP="00A63B50">
      <w:pPr>
        <w:numPr>
          <w:ilvl w:val="0"/>
          <w:numId w:val="36"/>
        </w:numPr>
        <w:spacing w:line="276" w:lineRule="auto"/>
        <w:rPr>
          <w:rFonts w:ascii="Calibri" w:hAnsi="Calibri"/>
          <w:spacing w:val="-5"/>
          <w:szCs w:val="22"/>
        </w:rPr>
      </w:pPr>
      <w:r w:rsidRPr="00A805CD">
        <w:rPr>
          <w:rFonts w:ascii="Calibri" w:hAnsi="Calibri"/>
          <w:spacing w:val="-5"/>
          <w:szCs w:val="22"/>
        </w:rPr>
        <w:t>Please indicate if the Company included an adjustment to account for the regulation that prohibits charging for more than three children per family, and, if applicable, demonstrate how the adjustment was derived and where it is included in the filing.</w:t>
      </w:r>
    </w:p>
    <w:p w14:paraId="447B50FC" w14:textId="77777777" w:rsidR="00A805CD" w:rsidRDefault="00A805CD" w:rsidP="00A805CD">
      <w:pPr>
        <w:spacing w:line="276" w:lineRule="auto"/>
        <w:rPr>
          <w:rFonts w:ascii="Calibri" w:hAnsi="Calibri"/>
          <w:spacing w:val="-5"/>
          <w:szCs w:val="22"/>
          <w:u w:val="single"/>
        </w:rPr>
      </w:pPr>
    </w:p>
    <w:p w14:paraId="5844539B" w14:textId="77777777" w:rsidR="00A805CD" w:rsidRPr="00A805CD" w:rsidRDefault="00A805CD" w:rsidP="00A805CD">
      <w:pPr>
        <w:spacing w:line="276" w:lineRule="auto"/>
        <w:rPr>
          <w:rFonts w:ascii="Calibri" w:hAnsi="Calibri"/>
          <w:spacing w:val="-5"/>
          <w:szCs w:val="22"/>
          <w:u w:val="single"/>
        </w:rPr>
      </w:pPr>
      <w:r w:rsidRPr="00A805CD">
        <w:rPr>
          <w:rFonts w:ascii="Calibri" w:hAnsi="Calibri"/>
          <w:spacing w:val="-5"/>
          <w:szCs w:val="22"/>
          <w:u w:val="single"/>
        </w:rPr>
        <w:t>Table 11</w:t>
      </w:r>
    </w:p>
    <w:p w14:paraId="504857FF" w14:textId="77777777" w:rsidR="00A805CD" w:rsidRPr="00A805CD" w:rsidRDefault="00A805CD" w:rsidP="00A63B50">
      <w:pPr>
        <w:widowControl w:val="0"/>
        <w:numPr>
          <w:ilvl w:val="0"/>
          <w:numId w:val="36"/>
        </w:numPr>
        <w:tabs>
          <w:tab w:val="left" w:pos="810"/>
        </w:tabs>
        <w:autoSpaceDE w:val="0"/>
        <w:autoSpaceDN w:val="0"/>
        <w:adjustRightInd w:val="0"/>
        <w:spacing w:line="276" w:lineRule="auto"/>
        <w:jc w:val="both"/>
        <w:rPr>
          <w:rFonts w:ascii="Calibri" w:eastAsia="Calibri" w:hAnsi="Calibri"/>
          <w:color w:val="000000"/>
          <w:szCs w:val="22"/>
        </w:rPr>
      </w:pPr>
      <w:r w:rsidRPr="00A805CD">
        <w:rPr>
          <w:rFonts w:ascii="Calibri" w:eastAsia="Calibri" w:hAnsi="Calibri"/>
          <w:color w:val="000000"/>
          <w:szCs w:val="22"/>
        </w:rPr>
        <w:t xml:space="preserve">Please show quantitatively with an Excel spreadsheet with formulas that the Consumer Adjusted Premium Rates match the rates shown in the Rates Table template. </w:t>
      </w:r>
    </w:p>
    <w:p w14:paraId="49DE9E06" w14:textId="77777777" w:rsidR="00A805CD" w:rsidRDefault="00A805CD" w:rsidP="00A805CD">
      <w:pPr>
        <w:spacing w:line="276" w:lineRule="auto"/>
        <w:rPr>
          <w:rFonts w:ascii="Calibri" w:hAnsi="Calibri"/>
          <w:spacing w:val="-5"/>
          <w:szCs w:val="22"/>
          <w:u w:val="single"/>
        </w:rPr>
      </w:pPr>
    </w:p>
    <w:p w14:paraId="69754B9D" w14:textId="77777777" w:rsidR="00A805CD" w:rsidRPr="00A805CD" w:rsidRDefault="00A805CD" w:rsidP="00A805CD">
      <w:pPr>
        <w:spacing w:line="276" w:lineRule="auto"/>
        <w:rPr>
          <w:rFonts w:ascii="Calibri" w:hAnsi="Calibri"/>
          <w:spacing w:val="-5"/>
          <w:szCs w:val="22"/>
          <w:u w:val="single"/>
        </w:rPr>
      </w:pPr>
      <w:r w:rsidRPr="00A805CD">
        <w:rPr>
          <w:rFonts w:ascii="Calibri" w:hAnsi="Calibri"/>
          <w:spacing w:val="-5"/>
          <w:szCs w:val="22"/>
          <w:u w:val="single"/>
        </w:rPr>
        <w:t>Tables 13-14</w:t>
      </w:r>
    </w:p>
    <w:p w14:paraId="53E2B169" w14:textId="77777777" w:rsidR="00A805CD" w:rsidRPr="00A805CD" w:rsidRDefault="00A805CD" w:rsidP="00A63B50">
      <w:pPr>
        <w:numPr>
          <w:ilvl w:val="0"/>
          <w:numId w:val="36"/>
        </w:numPr>
        <w:spacing w:line="276" w:lineRule="auto"/>
        <w:rPr>
          <w:rFonts w:ascii="Calibri" w:hAnsi="Calibri"/>
          <w:i/>
          <w:spacing w:val="-5"/>
          <w:szCs w:val="22"/>
        </w:rPr>
      </w:pPr>
      <w:r w:rsidRPr="00A805CD">
        <w:rPr>
          <w:rFonts w:ascii="Calibri" w:hAnsi="Calibri"/>
          <w:i/>
          <w:spacing w:val="-5"/>
          <w:szCs w:val="22"/>
        </w:rPr>
        <w:t>Does this filing propose Service Area changes relative to the last approved filing? If so, please discuss.</w:t>
      </w:r>
    </w:p>
    <w:p w14:paraId="3ABCDECA" w14:textId="77777777" w:rsidR="00A805CD" w:rsidRPr="00A805CD" w:rsidRDefault="00A805CD" w:rsidP="00A63B50">
      <w:pPr>
        <w:numPr>
          <w:ilvl w:val="0"/>
          <w:numId w:val="36"/>
        </w:numPr>
        <w:tabs>
          <w:tab w:val="left" w:pos="900"/>
        </w:tabs>
        <w:autoSpaceDE w:val="0"/>
        <w:autoSpaceDN w:val="0"/>
        <w:adjustRightInd w:val="0"/>
        <w:spacing w:line="276" w:lineRule="auto"/>
        <w:jc w:val="both"/>
        <w:rPr>
          <w:rFonts w:ascii="Calibri" w:hAnsi="Calibri"/>
          <w:color w:val="000000"/>
          <w:szCs w:val="22"/>
        </w:rPr>
      </w:pPr>
      <w:r w:rsidRPr="00A805CD">
        <w:rPr>
          <w:rFonts w:ascii="Calibri" w:hAnsi="Calibri"/>
          <w:szCs w:val="22"/>
        </w:rPr>
        <w:t>Please provide an explanation for revising the Geographic Area Factors and describe quantitatively, including an Excel spreadsheet with formulas, the derivation of the revised factors.</w:t>
      </w:r>
    </w:p>
    <w:p w14:paraId="7ABBB675" w14:textId="77777777" w:rsidR="00A805CD" w:rsidRPr="00A805CD" w:rsidRDefault="00A805CD" w:rsidP="00A805CD">
      <w:pPr>
        <w:rPr>
          <w:rFonts w:ascii="Calibri" w:hAnsi="Calibri"/>
          <w:spacing w:val="-5"/>
          <w:szCs w:val="22"/>
        </w:rPr>
      </w:pPr>
    </w:p>
    <w:p w14:paraId="0E53A6DC" w14:textId="77777777" w:rsidR="00A805CD" w:rsidRPr="00A805CD" w:rsidRDefault="00A805CD" w:rsidP="00A805CD">
      <w:pPr>
        <w:rPr>
          <w:rFonts w:ascii="Calibri" w:hAnsi="Calibri"/>
          <w:spacing w:val="-5"/>
          <w:szCs w:val="22"/>
        </w:rPr>
      </w:pPr>
    </w:p>
    <w:p w14:paraId="3A34FF3E" w14:textId="77777777" w:rsidR="00A805CD" w:rsidRPr="00A805CD" w:rsidRDefault="00A805CD" w:rsidP="00A805CD">
      <w:pPr>
        <w:tabs>
          <w:tab w:val="left" w:pos="900"/>
        </w:tabs>
        <w:spacing w:after="120"/>
        <w:jc w:val="both"/>
        <w:rPr>
          <w:rFonts w:ascii="Calibri" w:hAnsi="Calibri"/>
          <w:szCs w:val="22"/>
        </w:rPr>
      </w:pPr>
    </w:p>
    <w:p w14:paraId="3973DCE5" w14:textId="37882E3D" w:rsidR="008B28AA" w:rsidRPr="00A805CD" w:rsidRDefault="008B28AA" w:rsidP="00B47CAC">
      <w:pPr>
        <w:rPr>
          <w:rFonts w:ascii="Calibri" w:hAnsi="Calibri"/>
          <w:b/>
          <w:color w:val="FF0000"/>
        </w:rPr>
      </w:pPr>
    </w:p>
    <w:sectPr w:rsidR="008B28AA" w:rsidRPr="00A805CD" w:rsidSect="00D6470D">
      <w:footerReference w:type="even"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5ECE9" w14:textId="77777777" w:rsidR="001F7C86" w:rsidRDefault="001F7C86" w:rsidP="00B47CAC">
      <w:r>
        <w:separator/>
      </w:r>
    </w:p>
    <w:p w14:paraId="04CE9086" w14:textId="77777777" w:rsidR="001F7C86" w:rsidRDefault="001F7C86"/>
  </w:endnote>
  <w:endnote w:type="continuationSeparator" w:id="0">
    <w:p w14:paraId="08337ED7" w14:textId="77777777" w:rsidR="001F7C86" w:rsidRDefault="001F7C86" w:rsidP="00B47CAC">
      <w:r>
        <w:continuationSeparator/>
      </w:r>
    </w:p>
    <w:p w14:paraId="3A95A96A" w14:textId="77777777" w:rsidR="001F7C86" w:rsidRDefault="001F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6686" w14:textId="77777777" w:rsidR="005A7D2D" w:rsidRDefault="005A7D2D" w:rsidP="00CE2B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11245" w14:textId="77777777" w:rsidR="005A7D2D" w:rsidRDefault="005A7D2D" w:rsidP="00BE11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D973" w14:textId="77777777" w:rsidR="005A7D2D" w:rsidRDefault="005A7D2D" w:rsidP="00CE2B99">
    <w:pPr>
      <w:pStyle w:val="Footer"/>
      <w:framePr w:wrap="none" w:vAnchor="text" w:hAnchor="page" w:x="11062" w:y="78"/>
      <w:rPr>
        <w:rStyle w:val="PageNumber"/>
      </w:rPr>
    </w:pPr>
    <w:r>
      <w:rPr>
        <w:rStyle w:val="PageNumber"/>
      </w:rPr>
      <w:fldChar w:fldCharType="begin"/>
    </w:r>
    <w:r>
      <w:rPr>
        <w:rStyle w:val="PageNumber"/>
      </w:rPr>
      <w:instrText xml:space="preserve">PAGE  </w:instrText>
    </w:r>
    <w:r>
      <w:rPr>
        <w:rStyle w:val="PageNumber"/>
      </w:rPr>
      <w:fldChar w:fldCharType="separate"/>
    </w:r>
    <w:r w:rsidR="0084657A">
      <w:rPr>
        <w:rStyle w:val="PageNumber"/>
        <w:noProof/>
      </w:rPr>
      <w:t>16</w:t>
    </w:r>
    <w:r>
      <w:rPr>
        <w:rStyle w:val="PageNumber"/>
      </w:rPr>
      <w:fldChar w:fldCharType="end"/>
    </w:r>
  </w:p>
  <w:p w14:paraId="4BFFD1E9" w14:textId="77777777" w:rsidR="005A7D2D" w:rsidRDefault="005A7D2D" w:rsidP="00BE119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29951971"/>
      <w:docPartObj>
        <w:docPartGallery w:val="Page Numbers (Bottom of Page)"/>
        <w:docPartUnique/>
      </w:docPartObj>
    </w:sdtPr>
    <w:sdtEndPr>
      <w:rPr>
        <w:noProof/>
      </w:rPr>
    </w:sdtEndPr>
    <w:sdtContent>
      <w:p w14:paraId="687F81B9" w14:textId="77777777" w:rsidR="005A7D2D" w:rsidRPr="002111D5" w:rsidRDefault="005A7D2D" w:rsidP="002111D5">
        <w:pPr>
          <w:pStyle w:val="Footer"/>
          <w:jc w:val="right"/>
          <w:rPr>
            <w:rFonts w:ascii="Calibri" w:hAnsi="Calibri"/>
          </w:rPr>
        </w:pPr>
        <w:r w:rsidRPr="002111D5">
          <w:rPr>
            <w:rFonts w:ascii="Calibri" w:hAnsi="Calibri"/>
          </w:rPr>
          <w:fldChar w:fldCharType="begin"/>
        </w:r>
        <w:r w:rsidRPr="002111D5">
          <w:rPr>
            <w:rFonts w:ascii="Calibri" w:hAnsi="Calibri"/>
          </w:rPr>
          <w:instrText xml:space="preserve"> PAGE   \* MERGEFORMAT </w:instrText>
        </w:r>
        <w:r w:rsidRPr="002111D5">
          <w:rPr>
            <w:rFonts w:ascii="Calibri" w:hAnsi="Calibri"/>
          </w:rPr>
          <w:fldChar w:fldCharType="separate"/>
        </w:r>
        <w:r w:rsidR="0084657A">
          <w:rPr>
            <w:rFonts w:ascii="Calibri" w:hAnsi="Calibri"/>
            <w:noProof/>
          </w:rPr>
          <w:t>17</w:t>
        </w:r>
        <w:r w:rsidRPr="002111D5">
          <w:rPr>
            <w:rFonts w:ascii="Calibri" w:hAnsi="Calibri"/>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C5A4" w14:textId="77777777" w:rsidR="005A7D2D" w:rsidRDefault="005A7D2D" w:rsidP="00D647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AEF6E" w14:textId="77777777" w:rsidR="005A7D2D" w:rsidRDefault="005A7D2D" w:rsidP="00D6470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93C0" w14:textId="77777777" w:rsidR="005A7D2D" w:rsidRPr="005A7D2D" w:rsidRDefault="005A7D2D" w:rsidP="00D6470D">
    <w:pPr>
      <w:pStyle w:val="Footer"/>
      <w:framePr w:wrap="none" w:vAnchor="text" w:hAnchor="margin" w:xAlign="right" w:y="1"/>
      <w:rPr>
        <w:rStyle w:val="PageNumber"/>
        <w:rFonts w:asciiTheme="minorHAnsi" w:hAnsiTheme="minorHAnsi"/>
      </w:rPr>
    </w:pPr>
    <w:r w:rsidRPr="005A7D2D">
      <w:rPr>
        <w:rStyle w:val="PageNumber"/>
        <w:rFonts w:asciiTheme="minorHAnsi" w:hAnsiTheme="minorHAnsi"/>
      </w:rPr>
      <w:fldChar w:fldCharType="begin"/>
    </w:r>
    <w:r w:rsidRPr="005A7D2D">
      <w:rPr>
        <w:rStyle w:val="PageNumber"/>
        <w:rFonts w:asciiTheme="minorHAnsi" w:hAnsiTheme="minorHAnsi"/>
      </w:rPr>
      <w:instrText xml:space="preserve">PAGE  </w:instrText>
    </w:r>
    <w:r w:rsidRPr="005A7D2D">
      <w:rPr>
        <w:rStyle w:val="PageNumber"/>
        <w:rFonts w:asciiTheme="minorHAnsi" w:hAnsiTheme="minorHAnsi"/>
      </w:rPr>
      <w:fldChar w:fldCharType="separate"/>
    </w:r>
    <w:r w:rsidR="0084657A">
      <w:rPr>
        <w:rStyle w:val="PageNumber"/>
        <w:rFonts w:asciiTheme="minorHAnsi" w:hAnsiTheme="minorHAnsi"/>
        <w:noProof/>
      </w:rPr>
      <w:t>20</w:t>
    </w:r>
    <w:r w:rsidRPr="005A7D2D">
      <w:rPr>
        <w:rStyle w:val="PageNumber"/>
        <w:rFonts w:asciiTheme="minorHAnsi" w:hAnsiTheme="minorHAnsi"/>
      </w:rPr>
      <w:fldChar w:fldCharType="end"/>
    </w:r>
  </w:p>
  <w:p w14:paraId="200A2324" w14:textId="77777777" w:rsidR="005A7D2D" w:rsidRDefault="005A7D2D" w:rsidP="00D647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0BED" w14:textId="77777777" w:rsidR="001F7C86" w:rsidRDefault="001F7C86" w:rsidP="00B47CAC">
      <w:r>
        <w:separator/>
      </w:r>
    </w:p>
    <w:p w14:paraId="3EEA6CF9" w14:textId="77777777" w:rsidR="001F7C86" w:rsidRDefault="001F7C86"/>
  </w:footnote>
  <w:footnote w:type="continuationSeparator" w:id="0">
    <w:p w14:paraId="786139E9" w14:textId="77777777" w:rsidR="001F7C86" w:rsidRDefault="001F7C86" w:rsidP="00B47CAC">
      <w:r>
        <w:continuationSeparator/>
      </w:r>
    </w:p>
    <w:p w14:paraId="44F797AE" w14:textId="77777777" w:rsidR="001F7C86" w:rsidRDefault="001F7C86"/>
  </w:footnote>
  <w:footnote w:id="1">
    <w:p w14:paraId="680D14FD" w14:textId="77777777" w:rsidR="005A7D2D" w:rsidRPr="00EE3A00" w:rsidRDefault="005A7D2D" w:rsidP="002111D5">
      <w:pPr>
        <w:pStyle w:val="FootnoteText"/>
        <w:rPr>
          <w:rFonts w:ascii="Calibri" w:hAnsi="Calibri"/>
          <w:sz w:val="20"/>
          <w:szCs w:val="20"/>
        </w:rPr>
      </w:pPr>
      <w:r w:rsidRPr="00EE3A00">
        <w:rPr>
          <w:rStyle w:val="FootnoteReference"/>
          <w:rFonts w:asciiTheme="minorHAnsi" w:hAnsiTheme="minorHAnsi"/>
          <w:sz w:val="20"/>
          <w:szCs w:val="20"/>
        </w:rPr>
        <w:footnoteRef/>
      </w:r>
      <w:r w:rsidRPr="00EE3A00">
        <w:rPr>
          <w:rFonts w:asciiTheme="minorHAnsi" w:hAnsiTheme="minorHAnsi"/>
          <w:sz w:val="20"/>
          <w:szCs w:val="20"/>
        </w:rPr>
        <w:t xml:space="preserve"> </w:t>
      </w:r>
      <w:r w:rsidRPr="00EE3A00">
        <w:rPr>
          <w:rFonts w:ascii="Calibri" w:hAnsi="Calibri"/>
          <w:sz w:val="20"/>
          <w:szCs w:val="20"/>
        </w:rPr>
        <w:t>Note that insurers will have the opportunity to revise their rate change request in July, after they are scheduled to receive updated information about the impact of a federal program called risk adjustment. This document will be updated accordingly at that time.</w:t>
      </w:r>
    </w:p>
  </w:footnote>
  <w:footnote w:id="2">
    <w:p w14:paraId="58EB1709" w14:textId="77777777" w:rsidR="005A7D2D" w:rsidRPr="002111D5" w:rsidRDefault="005A7D2D" w:rsidP="002111D5">
      <w:pPr>
        <w:pStyle w:val="FootnoteText"/>
        <w:rPr>
          <w:rFonts w:ascii="Calibri" w:hAnsi="Calibri"/>
        </w:rPr>
      </w:pPr>
      <w:r w:rsidRPr="00EE3A00">
        <w:rPr>
          <w:rStyle w:val="FootnoteReference"/>
          <w:rFonts w:ascii="Calibri" w:hAnsi="Calibri"/>
          <w:sz w:val="20"/>
          <w:szCs w:val="20"/>
        </w:rPr>
        <w:footnoteRef/>
      </w:r>
      <w:r w:rsidRPr="00EE3A00">
        <w:rPr>
          <w:rFonts w:ascii="Calibri" w:hAnsi="Calibri"/>
          <w:sz w:val="20"/>
          <w:szCs w:val="20"/>
        </w:rPr>
        <w:t xml:space="preserve"> The 2016 financial experience includes all 2016 individual market major medical business, on- and off-exchange, for ACA-compliant plans and pre-ACA (grandfathered and transitional) plans. The ACA-compliant plans that are the subject of this rate filing may be a subset of the company’s individual market major medical business.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D6C6" w14:textId="529CC80B" w:rsidR="005A7D2D" w:rsidRPr="00082B45" w:rsidRDefault="005A7D2D" w:rsidP="00082B45">
    <w:pPr>
      <w:pStyle w:val="NoSpacing"/>
      <w:tabs>
        <w:tab w:val="left" w:pos="2713"/>
        <w:tab w:val="right" w:pos="10080"/>
      </w:tabs>
      <w:rPr>
        <w:rFonts w:asciiTheme="minorHAnsi" w:hAnsiTheme="minorHAnsi"/>
        <w:b/>
        <w:sz w:val="28"/>
        <w:szCs w:val="28"/>
      </w:rPr>
    </w:pPr>
    <w:r>
      <w:rPr>
        <w:b/>
        <w:noProof/>
        <w:sz w:val="28"/>
        <w:szCs w:val="28"/>
      </w:rPr>
      <w:drawing>
        <wp:anchor distT="0" distB="0" distL="114300" distR="114300" simplePos="0" relativeHeight="251663872" behindDoc="1" locked="0" layoutInCell="1" allowOverlap="1" wp14:anchorId="07B044FB" wp14:editId="10531526">
          <wp:simplePos x="0" y="0"/>
          <wp:positionH relativeFrom="margin">
            <wp:align>left</wp:align>
          </wp:positionH>
          <wp:positionV relativeFrom="margin">
            <wp:posOffset>-610456</wp:posOffset>
          </wp:positionV>
          <wp:extent cx="1892300" cy="649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Logo.JPG"/>
                  <pic:cNvPicPr/>
                </pic:nvPicPr>
                <pic:blipFill>
                  <a:blip r:embed="rId1">
                    <a:extLst>
                      <a:ext uri="{28A0092B-C50C-407E-A947-70E740481C1C}">
                        <a14:useLocalDpi xmlns:a14="http://schemas.microsoft.com/office/drawing/2010/main" val="0"/>
                      </a:ext>
                    </a:extLst>
                  </a:blip>
                  <a:stretch>
                    <a:fillRect/>
                  </a:stretch>
                </pic:blipFill>
                <pic:spPr>
                  <a:xfrm>
                    <a:off x="0" y="0"/>
                    <a:ext cx="1892300" cy="64960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ab/>
    </w:r>
    <w:r>
      <w:rPr>
        <w:b/>
        <w:sz w:val="28"/>
        <w:szCs w:val="28"/>
      </w:rPr>
      <w:tab/>
    </w:r>
    <w:r w:rsidRPr="00082B45">
      <w:rPr>
        <w:rFonts w:asciiTheme="minorHAnsi" w:hAnsiTheme="minorHAnsi"/>
        <w:b/>
        <w:sz w:val="28"/>
        <w:szCs w:val="28"/>
      </w:rPr>
      <w:t>Ra</w:t>
    </w:r>
    <w:r>
      <w:rPr>
        <w:rFonts w:asciiTheme="minorHAnsi" w:hAnsiTheme="minorHAnsi"/>
        <w:b/>
        <w:sz w:val="28"/>
        <w:szCs w:val="28"/>
      </w:rPr>
      <w:t>te Change Request Summary - 2018</w:t>
    </w:r>
  </w:p>
  <w:p w14:paraId="1F481F5B" w14:textId="77777777" w:rsidR="005A7D2D" w:rsidRPr="00082B45" w:rsidRDefault="005A7D2D" w:rsidP="00082B45">
    <w:pPr>
      <w:pStyle w:val="Default"/>
      <w:spacing w:after="120"/>
      <w:jc w:val="right"/>
      <w:rPr>
        <w:rFonts w:asciiTheme="minorHAnsi" w:hAnsiTheme="minorHAnsi"/>
        <w:sz w:val="20"/>
        <w:szCs w:val="20"/>
      </w:rPr>
    </w:pPr>
    <w:r w:rsidRPr="00082B45">
      <w:rPr>
        <w:rFonts w:asciiTheme="minorHAnsi" w:hAnsiTheme="minorHAnsi"/>
        <w:sz w:val="20"/>
        <w:szCs w:val="20"/>
      </w:rPr>
      <w:t xml:space="preserve">Pennsylvania Insurance Department | </w:t>
    </w:r>
    <w:hyperlink r:id="rId2" w:history="1">
      <w:r w:rsidRPr="00082B45">
        <w:rPr>
          <w:rStyle w:val="Hyperlink"/>
          <w:rFonts w:asciiTheme="minorHAnsi" w:hAnsiTheme="minorHAnsi"/>
          <w:color w:val="auto"/>
          <w:sz w:val="20"/>
          <w:szCs w:val="20"/>
        </w:rPr>
        <w:t>www.insurance.pa.gov</w:t>
      </w:r>
    </w:hyperlink>
  </w:p>
  <w:p w14:paraId="2CE7AD18" w14:textId="77777777" w:rsidR="005A7D2D" w:rsidRDefault="005A7D2D" w:rsidP="00B47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E302" w14:textId="77777777" w:rsidR="005A7D2D" w:rsidRPr="00D6470D" w:rsidRDefault="005A7D2D" w:rsidP="00D64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880A" w14:textId="77777777" w:rsidR="005A7D2D" w:rsidRPr="002111D5" w:rsidRDefault="005A7D2D" w:rsidP="002111D5">
    <w:pPr>
      <w:pStyle w:val="NoSpacing"/>
      <w:tabs>
        <w:tab w:val="left" w:pos="2713"/>
        <w:tab w:val="right" w:pos="10080"/>
      </w:tabs>
      <w:jc w:val="right"/>
      <w:rPr>
        <w:rFonts w:ascii="Calibri" w:hAnsi="Calibri"/>
        <w:b/>
        <w:sz w:val="28"/>
        <w:szCs w:val="28"/>
      </w:rPr>
    </w:pPr>
    <w:r>
      <w:rPr>
        <w:b/>
        <w:noProof/>
        <w:sz w:val="28"/>
        <w:szCs w:val="28"/>
      </w:rPr>
      <w:drawing>
        <wp:anchor distT="0" distB="0" distL="114300" distR="114300" simplePos="0" relativeHeight="251665920" behindDoc="1" locked="0" layoutInCell="1" allowOverlap="1" wp14:anchorId="6C5BE981" wp14:editId="1D19DC8C">
          <wp:simplePos x="0" y="0"/>
          <wp:positionH relativeFrom="margin">
            <wp:align>left</wp:align>
          </wp:positionH>
          <wp:positionV relativeFrom="topMargin">
            <wp:posOffset>360045</wp:posOffset>
          </wp:positionV>
          <wp:extent cx="1892300" cy="649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Logo.JPG"/>
                  <pic:cNvPicPr/>
                </pic:nvPicPr>
                <pic:blipFill>
                  <a:blip r:embed="rId1">
                    <a:extLst>
                      <a:ext uri="{28A0092B-C50C-407E-A947-70E740481C1C}">
                        <a14:useLocalDpi xmlns:a14="http://schemas.microsoft.com/office/drawing/2010/main" val="0"/>
                      </a:ext>
                    </a:extLst>
                  </a:blip>
                  <a:stretch>
                    <a:fillRect/>
                  </a:stretch>
                </pic:blipFill>
                <pic:spPr>
                  <a:xfrm>
                    <a:off x="0" y="0"/>
                    <a:ext cx="1892300" cy="649605"/>
                  </a:xfrm>
                  <a:prstGeom prst="rect">
                    <a:avLst/>
                  </a:prstGeom>
                </pic:spPr>
              </pic:pic>
            </a:graphicData>
          </a:graphic>
          <wp14:sizeRelH relativeFrom="margin">
            <wp14:pctWidth>0</wp14:pctWidth>
          </wp14:sizeRelH>
          <wp14:sizeRelV relativeFrom="margin">
            <wp14:pctHeight>0</wp14:pctHeight>
          </wp14:sizeRelV>
        </wp:anchor>
      </w:drawing>
    </w:r>
    <w:r w:rsidRPr="002111D5">
      <w:rPr>
        <w:rFonts w:ascii="Calibri" w:hAnsi="Calibri"/>
        <w:b/>
        <w:sz w:val="28"/>
        <w:szCs w:val="28"/>
      </w:rPr>
      <w:t>Rate Change Request Summary - 2017</w:t>
    </w:r>
  </w:p>
  <w:p w14:paraId="1372C452" w14:textId="77777777" w:rsidR="005A7D2D" w:rsidRPr="002111D5" w:rsidRDefault="005A7D2D" w:rsidP="002111D5">
    <w:pPr>
      <w:pStyle w:val="Default"/>
      <w:spacing w:after="120"/>
      <w:jc w:val="right"/>
      <w:rPr>
        <w:rFonts w:ascii="Calibri" w:hAnsi="Calibri"/>
        <w:sz w:val="20"/>
        <w:szCs w:val="20"/>
      </w:rPr>
    </w:pPr>
    <w:r w:rsidRPr="002111D5">
      <w:rPr>
        <w:rFonts w:ascii="Calibri" w:hAnsi="Calibri"/>
        <w:sz w:val="20"/>
        <w:szCs w:val="20"/>
      </w:rPr>
      <w:t xml:space="preserve">Pennsylvania Insurance Department | </w:t>
    </w:r>
    <w:hyperlink r:id="rId2" w:history="1">
      <w:r w:rsidRPr="002111D5">
        <w:rPr>
          <w:rStyle w:val="Hyperlink"/>
          <w:rFonts w:ascii="Calibri" w:hAnsi="Calibri"/>
          <w:color w:val="auto"/>
          <w:sz w:val="20"/>
          <w:szCs w:val="20"/>
        </w:rPr>
        <w:t>www.insurance.pa.gov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3071"/>
    <w:multiLevelType w:val="hybridMultilevel"/>
    <w:tmpl w:val="53F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41F11"/>
    <w:multiLevelType w:val="hybridMultilevel"/>
    <w:tmpl w:val="183AF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67814"/>
    <w:multiLevelType w:val="hybridMultilevel"/>
    <w:tmpl w:val="82020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E4734"/>
    <w:multiLevelType w:val="hybridMultilevel"/>
    <w:tmpl w:val="F5520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371EE"/>
    <w:multiLevelType w:val="hybridMultilevel"/>
    <w:tmpl w:val="FC7C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929A9"/>
    <w:multiLevelType w:val="hybridMultilevel"/>
    <w:tmpl w:val="80409D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600EA9"/>
    <w:multiLevelType w:val="hybridMultilevel"/>
    <w:tmpl w:val="80409D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4F5ABC"/>
    <w:multiLevelType w:val="hybridMultilevel"/>
    <w:tmpl w:val="F5520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15F90"/>
    <w:multiLevelType w:val="hybridMultilevel"/>
    <w:tmpl w:val="80409D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611BE0"/>
    <w:multiLevelType w:val="hybridMultilevel"/>
    <w:tmpl w:val="80409D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567F6E"/>
    <w:multiLevelType w:val="hybridMultilevel"/>
    <w:tmpl w:val="12CC6442"/>
    <w:lvl w:ilvl="0" w:tplc="514E9FC2">
      <w:start w:val="1"/>
      <w:numFmt w:val="decimal"/>
      <w:pStyle w:val="Heading1"/>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DF26E4"/>
    <w:multiLevelType w:val="hybridMultilevel"/>
    <w:tmpl w:val="F5520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754998"/>
    <w:multiLevelType w:val="hybridMultilevel"/>
    <w:tmpl w:val="FCFAA7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181872"/>
    <w:multiLevelType w:val="hybridMultilevel"/>
    <w:tmpl w:val="1AFE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B31FC"/>
    <w:multiLevelType w:val="hybridMultilevel"/>
    <w:tmpl w:val="28B64E4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D971E8"/>
    <w:multiLevelType w:val="hybridMultilevel"/>
    <w:tmpl w:val="F5520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202B21"/>
    <w:multiLevelType w:val="hybridMultilevel"/>
    <w:tmpl w:val="80409D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4227D6"/>
    <w:multiLevelType w:val="hybridMultilevel"/>
    <w:tmpl w:val="15F840CC"/>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26C39"/>
    <w:multiLevelType w:val="hybridMultilevel"/>
    <w:tmpl w:val="6ABAD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50FC8"/>
    <w:multiLevelType w:val="hybridMultilevel"/>
    <w:tmpl w:val="F5520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8B25D0"/>
    <w:multiLevelType w:val="hybridMultilevel"/>
    <w:tmpl w:val="9F5E8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B6946"/>
    <w:multiLevelType w:val="hybridMultilevel"/>
    <w:tmpl w:val="3A8A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06262"/>
    <w:multiLevelType w:val="hybridMultilevel"/>
    <w:tmpl w:val="80409D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695E10"/>
    <w:multiLevelType w:val="hybridMultilevel"/>
    <w:tmpl w:val="AD68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D612D"/>
    <w:multiLevelType w:val="hybridMultilevel"/>
    <w:tmpl w:val="F5520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FA6EB5"/>
    <w:multiLevelType w:val="hybridMultilevel"/>
    <w:tmpl w:val="57D8936C"/>
    <w:lvl w:ilvl="0" w:tplc="2DE057E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96526A"/>
    <w:multiLevelType w:val="hybridMultilevel"/>
    <w:tmpl w:val="F5520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161F98"/>
    <w:multiLevelType w:val="hybridMultilevel"/>
    <w:tmpl w:val="9EEAF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63CD8"/>
    <w:multiLevelType w:val="hybridMultilevel"/>
    <w:tmpl w:val="F5520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A5524"/>
    <w:multiLevelType w:val="hybridMultilevel"/>
    <w:tmpl w:val="37ECD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C40968"/>
    <w:multiLevelType w:val="hybridMultilevel"/>
    <w:tmpl w:val="F5520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CA5DF7"/>
    <w:multiLevelType w:val="hybridMultilevel"/>
    <w:tmpl w:val="B2EC9BD6"/>
    <w:lvl w:ilvl="0" w:tplc="CCFC732E">
      <w:start w:val="1"/>
      <w:numFmt w:val="upperLetter"/>
      <w:pStyle w:val="Title"/>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BE7CE4"/>
    <w:multiLevelType w:val="hybridMultilevel"/>
    <w:tmpl w:val="2B0840A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5"/>
  </w:num>
  <w:num w:numId="4">
    <w:abstractNumId w:val="25"/>
    <w:lvlOverride w:ilvl="0">
      <w:startOverride w:val="1"/>
    </w:lvlOverride>
  </w:num>
  <w:num w:numId="5">
    <w:abstractNumId w:val="0"/>
  </w:num>
  <w:num w:numId="6">
    <w:abstractNumId w:val="25"/>
    <w:lvlOverride w:ilvl="0">
      <w:startOverride w:val="1"/>
    </w:lvlOverride>
  </w:num>
  <w:num w:numId="7">
    <w:abstractNumId w:val="31"/>
  </w:num>
  <w:num w:numId="8">
    <w:abstractNumId w:val="1"/>
  </w:num>
  <w:num w:numId="9">
    <w:abstractNumId w:val="20"/>
  </w:num>
  <w:num w:numId="10">
    <w:abstractNumId w:val="10"/>
    <w:lvlOverride w:ilvl="0">
      <w:startOverride w:val="1"/>
    </w:lvlOverride>
  </w:num>
  <w:num w:numId="11">
    <w:abstractNumId w:val="21"/>
  </w:num>
  <w:num w:numId="12">
    <w:abstractNumId w:val="27"/>
  </w:num>
  <w:num w:numId="13">
    <w:abstractNumId w:val="25"/>
    <w:lvlOverride w:ilvl="0">
      <w:startOverride w:val="1"/>
    </w:lvlOverride>
  </w:num>
  <w:num w:numId="14">
    <w:abstractNumId w:val="14"/>
  </w:num>
  <w:num w:numId="15">
    <w:abstractNumId w:val="23"/>
  </w:num>
  <w:num w:numId="16">
    <w:abstractNumId w:val="17"/>
  </w:num>
  <w:num w:numId="17">
    <w:abstractNumId w:val="28"/>
  </w:num>
  <w:num w:numId="18">
    <w:abstractNumId w:val="4"/>
  </w:num>
  <w:num w:numId="19">
    <w:abstractNumId w:val="18"/>
  </w:num>
  <w:num w:numId="20">
    <w:abstractNumId w:val="16"/>
  </w:num>
  <w:num w:numId="21">
    <w:abstractNumId w:val="9"/>
  </w:num>
  <w:num w:numId="22">
    <w:abstractNumId w:val="6"/>
  </w:num>
  <w:num w:numId="23">
    <w:abstractNumId w:val="5"/>
  </w:num>
  <w:num w:numId="24">
    <w:abstractNumId w:val="11"/>
  </w:num>
  <w:num w:numId="25">
    <w:abstractNumId w:val="15"/>
  </w:num>
  <w:num w:numId="26">
    <w:abstractNumId w:val="7"/>
  </w:num>
  <w:num w:numId="27">
    <w:abstractNumId w:val="22"/>
  </w:num>
  <w:num w:numId="28">
    <w:abstractNumId w:val="24"/>
  </w:num>
  <w:num w:numId="29">
    <w:abstractNumId w:val="8"/>
  </w:num>
  <w:num w:numId="30">
    <w:abstractNumId w:val="3"/>
  </w:num>
  <w:num w:numId="31">
    <w:abstractNumId w:val="26"/>
  </w:num>
  <w:num w:numId="32">
    <w:abstractNumId w:val="30"/>
  </w:num>
  <w:num w:numId="33">
    <w:abstractNumId w:val="19"/>
  </w:num>
  <w:num w:numId="34">
    <w:abstractNumId w:val="10"/>
    <w:lvlOverride w:ilvl="0">
      <w:startOverride w:val="1"/>
    </w:lvlOverride>
  </w:num>
  <w:num w:numId="35">
    <w:abstractNumId w:val="29"/>
  </w:num>
  <w:num w:numId="36">
    <w:abstractNumId w:val="2"/>
  </w:num>
  <w:num w:numId="37">
    <w:abstractNumId w:val="32"/>
  </w:num>
  <w:num w:numId="38">
    <w:abstractNumId w:val="10"/>
    <w:lvlOverride w:ilvl="0">
      <w:startOverride w:val="1"/>
    </w:lvlOverride>
  </w:num>
  <w:num w:numId="39">
    <w:abstractNumId w:val="25"/>
    <w:lvlOverride w:ilvl="0">
      <w:startOverride w:val="1"/>
    </w:lvlOverride>
  </w:num>
  <w:num w:numId="40">
    <w:abstractNumId w:val="25"/>
  </w:num>
  <w:num w:numId="41">
    <w:abstractNumId w:val="25"/>
  </w:num>
  <w:num w:numId="42">
    <w:abstractNumId w:val="25"/>
  </w:num>
  <w:num w:numId="43">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CE"/>
    <w:rsid w:val="00001606"/>
    <w:rsid w:val="00002997"/>
    <w:rsid w:val="00004075"/>
    <w:rsid w:val="0000470A"/>
    <w:rsid w:val="000047DF"/>
    <w:rsid w:val="00004C12"/>
    <w:rsid w:val="0000662C"/>
    <w:rsid w:val="00007CF6"/>
    <w:rsid w:val="00007E7A"/>
    <w:rsid w:val="00012AEC"/>
    <w:rsid w:val="00013376"/>
    <w:rsid w:val="00013A4D"/>
    <w:rsid w:val="0001432B"/>
    <w:rsid w:val="00014FE5"/>
    <w:rsid w:val="0001556B"/>
    <w:rsid w:val="00015592"/>
    <w:rsid w:val="00020425"/>
    <w:rsid w:val="00021356"/>
    <w:rsid w:val="00021A63"/>
    <w:rsid w:val="000226F6"/>
    <w:rsid w:val="00023843"/>
    <w:rsid w:val="0002505D"/>
    <w:rsid w:val="00025509"/>
    <w:rsid w:val="00026AA4"/>
    <w:rsid w:val="00026E95"/>
    <w:rsid w:val="00026F36"/>
    <w:rsid w:val="0002704F"/>
    <w:rsid w:val="00027B6E"/>
    <w:rsid w:val="00027E90"/>
    <w:rsid w:val="0003040E"/>
    <w:rsid w:val="000320C8"/>
    <w:rsid w:val="000321B2"/>
    <w:rsid w:val="000335F4"/>
    <w:rsid w:val="00033A12"/>
    <w:rsid w:val="00036AC1"/>
    <w:rsid w:val="00037403"/>
    <w:rsid w:val="00041080"/>
    <w:rsid w:val="0004123A"/>
    <w:rsid w:val="000419C2"/>
    <w:rsid w:val="00041B87"/>
    <w:rsid w:val="00041C5D"/>
    <w:rsid w:val="000438C1"/>
    <w:rsid w:val="00043955"/>
    <w:rsid w:val="00043ED7"/>
    <w:rsid w:val="00044696"/>
    <w:rsid w:val="00044AFE"/>
    <w:rsid w:val="00044E12"/>
    <w:rsid w:val="0004518C"/>
    <w:rsid w:val="000461E1"/>
    <w:rsid w:val="00046B0F"/>
    <w:rsid w:val="00050328"/>
    <w:rsid w:val="000509F2"/>
    <w:rsid w:val="00050CD5"/>
    <w:rsid w:val="000512E9"/>
    <w:rsid w:val="00051CAF"/>
    <w:rsid w:val="000526DE"/>
    <w:rsid w:val="000528E5"/>
    <w:rsid w:val="000546FF"/>
    <w:rsid w:val="00054EEA"/>
    <w:rsid w:val="000554ED"/>
    <w:rsid w:val="000554EE"/>
    <w:rsid w:val="000566C8"/>
    <w:rsid w:val="00057111"/>
    <w:rsid w:val="00057320"/>
    <w:rsid w:val="00057DA3"/>
    <w:rsid w:val="000605B9"/>
    <w:rsid w:val="000610A6"/>
    <w:rsid w:val="00061324"/>
    <w:rsid w:val="00061781"/>
    <w:rsid w:val="00061C93"/>
    <w:rsid w:val="000626E7"/>
    <w:rsid w:val="00062DEF"/>
    <w:rsid w:val="00063A37"/>
    <w:rsid w:val="00063B1D"/>
    <w:rsid w:val="000648B9"/>
    <w:rsid w:val="00064A7B"/>
    <w:rsid w:val="00064C6D"/>
    <w:rsid w:val="00066D79"/>
    <w:rsid w:val="00067F45"/>
    <w:rsid w:val="00070266"/>
    <w:rsid w:val="0007048F"/>
    <w:rsid w:val="0007163A"/>
    <w:rsid w:val="00071787"/>
    <w:rsid w:val="00071855"/>
    <w:rsid w:val="00074A1B"/>
    <w:rsid w:val="00074C9E"/>
    <w:rsid w:val="000758D0"/>
    <w:rsid w:val="00075A7F"/>
    <w:rsid w:val="00076287"/>
    <w:rsid w:val="00077121"/>
    <w:rsid w:val="000771AF"/>
    <w:rsid w:val="00080749"/>
    <w:rsid w:val="00080843"/>
    <w:rsid w:val="00080B79"/>
    <w:rsid w:val="00082B45"/>
    <w:rsid w:val="00082ECD"/>
    <w:rsid w:val="00083E2D"/>
    <w:rsid w:val="000848AB"/>
    <w:rsid w:val="00084A3F"/>
    <w:rsid w:val="000857D6"/>
    <w:rsid w:val="00085A56"/>
    <w:rsid w:val="000861F9"/>
    <w:rsid w:val="000862F5"/>
    <w:rsid w:val="00087B89"/>
    <w:rsid w:val="00090249"/>
    <w:rsid w:val="0009024F"/>
    <w:rsid w:val="00090C01"/>
    <w:rsid w:val="00090C52"/>
    <w:rsid w:val="00090D83"/>
    <w:rsid w:val="00092263"/>
    <w:rsid w:val="000922FB"/>
    <w:rsid w:val="00092F5F"/>
    <w:rsid w:val="00093B42"/>
    <w:rsid w:val="00094C3F"/>
    <w:rsid w:val="00095104"/>
    <w:rsid w:val="000959B0"/>
    <w:rsid w:val="00095C8F"/>
    <w:rsid w:val="00095DCC"/>
    <w:rsid w:val="00095E1E"/>
    <w:rsid w:val="00096505"/>
    <w:rsid w:val="00096DBA"/>
    <w:rsid w:val="00097269"/>
    <w:rsid w:val="00097F1D"/>
    <w:rsid w:val="000A0BA7"/>
    <w:rsid w:val="000A1125"/>
    <w:rsid w:val="000A3580"/>
    <w:rsid w:val="000A4AE0"/>
    <w:rsid w:val="000A4EE1"/>
    <w:rsid w:val="000A5629"/>
    <w:rsid w:val="000A644A"/>
    <w:rsid w:val="000A672A"/>
    <w:rsid w:val="000A6D34"/>
    <w:rsid w:val="000A6EF7"/>
    <w:rsid w:val="000A7264"/>
    <w:rsid w:val="000A7570"/>
    <w:rsid w:val="000A7EA3"/>
    <w:rsid w:val="000B232E"/>
    <w:rsid w:val="000B2995"/>
    <w:rsid w:val="000B2F0D"/>
    <w:rsid w:val="000B43E0"/>
    <w:rsid w:val="000B4685"/>
    <w:rsid w:val="000B4A55"/>
    <w:rsid w:val="000B58E3"/>
    <w:rsid w:val="000B6181"/>
    <w:rsid w:val="000B61C9"/>
    <w:rsid w:val="000B6CAE"/>
    <w:rsid w:val="000B7765"/>
    <w:rsid w:val="000C01A7"/>
    <w:rsid w:val="000C13E2"/>
    <w:rsid w:val="000C264F"/>
    <w:rsid w:val="000C3DAB"/>
    <w:rsid w:val="000C4AE1"/>
    <w:rsid w:val="000C5797"/>
    <w:rsid w:val="000C5C7F"/>
    <w:rsid w:val="000C602F"/>
    <w:rsid w:val="000C608C"/>
    <w:rsid w:val="000C639D"/>
    <w:rsid w:val="000C7856"/>
    <w:rsid w:val="000C7F26"/>
    <w:rsid w:val="000D0D4A"/>
    <w:rsid w:val="000D0E8D"/>
    <w:rsid w:val="000D1343"/>
    <w:rsid w:val="000D2C9D"/>
    <w:rsid w:val="000D38BA"/>
    <w:rsid w:val="000D4191"/>
    <w:rsid w:val="000D4897"/>
    <w:rsid w:val="000D4C80"/>
    <w:rsid w:val="000D5B4A"/>
    <w:rsid w:val="000D6742"/>
    <w:rsid w:val="000E2582"/>
    <w:rsid w:val="000E3B1A"/>
    <w:rsid w:val="000E3D06"/>
    <w:rsid w:val="000E5312"/>
    <w:rsid w:val="000E5A5C"/>
    <w:rsid w:val="000E6465"/>
    <w:rsid w:val="000E7453"/>
    <w:rsid w:val="000E7E32"/>
    <w:rsid w:val="000F024A"/>
    <w:rsid w:val="000F1E2F"/>
    <w:rsid w:val="000F4991"/>
    <w:rsid w:val="000F4DDA"/>
    <w:rsid w:val="000F6956"/>
    <w:rsid w:val="000F7053"/>
    <w:rsid w:val="000F7A0E"/>
    <w:rsid w:val="0010089F"/>
    <w:rsid w:val="00100A41"/>
    <w:rsid w:val="0010163E"/>
    <w:rsid w:val="00101E74"/>
    <w:rsid w:val="00102C3A"/>
    <w:rsid w:val="00102D03"/>
    <w:rsid w:val="00103478"/>
    <w:rsid w:val="00104095"/>
    <w:rsid w:val="00104A07"/>
    <w:rsid w:val="001050FF"/>
    <w:rsid w:val="00106793"/>
    <w:rsid w:val="00107FA9"/>
    <w:rsid w:val="00110477"/>
    <w:rsid w:val="001108A5"/>
    <w:rsid w:val="00110DA5"/>
    <w:rsid w:val="00111FB4"/>
    <w:rsid w:val="00112E87"/>
    <w:rsid w:val="001140CC"/>
    <w:rsid w:val="00115081"/>
    <w:rsid w:val="001168B1"/>
    <w:rsid w:val="00116E1B"/>
    <w:rsid w:val="00120C25"/>
    <w:rsid w:val="00122343"/>
    <w:rsid w:val="00122ECD"/>
    <w:rsid w:val="0012327B"/>
    <w:rsid w:val="0012381A"/>
    <w:rsid w:val="001238F8"/>
    <w:rsid w:val="00123D20"/>
    <w:rsid w:val="00123F56"/>
    <w:rsid w:val="00124928"/>
    <w:rsid w:val="00124CE6"/>
    <w:rsid w:val="00125CE2"/>
    <w:rsid w:val="001266B3"/>
    <w:rsid w:val="001269B5"/>
    <w:rsid w:val="00126FA6"/>
    <w:rsid w:val="0012703B"/>
    <w:rsid w:val="0012721D"/>
    <w:rsid w:val="00127FD6"/>
    <w:rsid w:val="001321A8"/>
    <w:rsid w:val="00132390"/>
    <w:rsid w:val="00132983"/>
    <w:rsid w:val="0013325E"/>
    <w:rsid w:val="001333C7"/>
    <w:rsid w:val="00133D92"/>
    <w:rsid w:val="00133F81"/>
    <w:rsid w:val="001371A5"/>
    <w:rsid w:val="00137D07"/>
    <w:rsid w:val="0014045C"/>
    <w:rsid w:val="00141F47"/>
    <w:rsid w:val="00143FDB"/>
    <w:rsid w:val="00144866"/>
    <w:rsid w:val="00144C5C"/>
    <w:rsid w:val="00145B36"/>
    <w:rsid w:val="00145EE3"/>
    <w:rsid w:val="00146DC5"/>
    <w:rsid w:val="00147DF5"/>
    <w:rsid w:val="00147DF6"/>
    <w:rsid w:val="00150612"/>
    <w:rsid w:val="00150DD5"/>
    <w:rsid w:val="0015144D"/>
    <w:rsid w:val="00151BC5"/>
    <w:rsid w:val="00151DC8"/>
    <w:rsid w:val="00152CD6"/>
    <w:rsid w:val="00152DA8"/>
    <w:rsid w:val="00153B62"/>
    <w:rsid w:val="00155394"/>
    <w:rsid w:val="00156285"/>
    <w:rsid w:val="00156AD9"/>
    <w:rsid w:val="00156E1C"/>
    <w:rsid w:val="001573CF"/>
    <w:rsid w:val="00160341"/>
    <w:rsid w:val="0016034A"/>
    <w:rsid w:val="00160C90"/>
    <w:rsid w:val="00162C24"/>
    <w:rsid w:val="0016300A"/>
    <w:rsid w:val="001633C9"/>
    <w:rsid w:val="0016381D"/>
    <w:rsid w:val="00163E0E"/>
    <w:rsid w:val="00164E36"/>
    <w:rsid w:val="00164EE4"/>
    <w:rsid w:val="0016540D"/>
    <w:rsid w:val="00165F63"/>
    <w:rsid w:val="0016677E"/>
    <w:rsid w:val="00166836"/>
    <w:rsid w:val="00166CBE"/>
    <w:rsid w:val="00166D01"/>
    <w:rsid w:val="00167C15"/>
    <w:rsid w:val="00167DC1"/>
    <w:rsid w:val="00167F6B"/>
    <w:rsid w:val="001701F6"/>
    <w:rsid w:val="0017024A"/>
    <w:rsid w:val="00171176"/>
    <w:rsid w:val="001716DD"/>
    <w:rsid w:val="00171AA1"/>
    <w:rsid w:val="00172ABB"/>
    <w:rsid w:val="001761C5"/>
    <w:rsid w:val="001762F2"/>
    <w:rsid w:val="00176B34"/>
    <w:rsid w:val="0017739A"/>
    <w:rsid w:val="00180F40"/>
    <w:rsid w:val="00182801"/>
    <w:rsid w:val="0018283D"/>
    <w:rsid w:val="00183B25"/>
    <w:rsid w:val="001849B4"/>
    <w:rsid w:val="00186790"/>
    <w:rsid w:val="0018685F"/>
    <w:rsid w:val="00186EAF"/>
    <w:rsid w:val="0018781A"/>
    <w:rsid w:val="00187B42"/>
    <w:rsid w:val="00191041"/>
    <w:rsid w:val="00191345"/>
    <w:rsid w:val="0019188F"/>
    <w:rsid w:val="00193AC3"/>
    <w:rsid w:val="00194251"/>
    <w:rsid w:val="001954D0"/>
    <w:rsid w:val="00195FB6"/>
    <w:rsid w:val="00196441"/>
    <w:rsid w:val="001A1CD9"/>
    <w:rsid w:val="001A2302"/>
    <w:rsid w:val="001A2905"/>
    <w:rsid w:val="001A3376"/>
    <w:rsid w:val="001A47BB"/>
    <w:rsid w:val="001A48E8"/>
    <w:rsid w:val="001A5AC5"/>
    <w:rsid w:val="001A6325"/>
    <w:rsid w:val="001A7299"/>
    <w:rsid w:val="001A7FED"/>
    <w:rsid w:val="001B0A94"/>
    <w:rsid w:val="001B0B66"/>
    <w:rsid w:val="001B14AF"/>
    <w:rsid w:val="001B1BBC"/>
    <w:rsid w:val="001B3E17"/>
    <w:rsid w:val="001B4C5E"/>
    <w:rsid w:val="001B4ED4"/>
    <w:rsid w:val="001B5D21"/>
    <w:rsid w:val="001B7784"/>
    <w:rsid w:val="001B7A91"/>
    <w:rsid w:val="001B7F68"/>
    <w:rsid w:val="001C02E5"/>
    <w:rsid w:val="001C06C1"/>
    <w:rsid w:val="001C2E79"/>
    <w:rsid w:val="001C37E2"/>
    <w:rsid w:val="001C4AA8"/>
    <w:rsid w:val="001C5AC0"/>
    <w:rsid w:val="001C62BC"/>
    <w:rsid w:val="001C73AE"/>
    <w:rsid w:val="001D05E0"/>
    <w:rsid w:val="001D32B3"/>
    <w:rsid w:val="001D3349"/>
    <w:rsid w:val="001D3CD7"/>
    <w:rsid w:val="001D4613"/>
    <w:rsid w:val="001D6779"/>
    <w:rsid w:val="001D71B0"/>
    <w:rsid w:val="001E0402"/>
    <w:rsid w:val="001E0FAB"/>
    <w:rsid w:val="001E1375"/>
    <w:rsid w:val="001E210C"/>
    <w:rsid w:val="001E21FB"/>
    <w:rsid w:val="001E3304"/>
    <w:rsid w:val="001E3479"/>
    <w:rsid w:val="001E4935"/>
    <w:rsid w:val="001E5AC4"/>
    <w:rsid w:val="001E5E77"/>
    <w:rsid w:val="001E64AB"/>
    <w:rsid w:val="001E70CD"/>
    <w:rsid w:val="001F00A9"/>
    <w:rsid w:val="001F0171"/>
    <w:rsid w:val="001F04E7"/>
    <w:rsid w:val="001F2757"/>
    <w:rsid w:val="001F3406"/>
    <w:rsid w:val="001F359C"/>
    <w:rsid w:val="001F440E"/>
    <w:rsid w:val="001F5128"/>
    <w:rsid w:val="001F6671"/>
    <w:rsid w:val="001F6D98"/>
    <w:rsid w:val="001F7C86"/>
    <w:rsid w:val="00201C82"/>
    <w:rsid w:val="00202401"/>
    <w:rsid w:val="002029F0"/>
    <w:rsid w:val="00202B10"/>
    <w:rsid w:val="002033E3"/>
    <w:rsid w:val="00204D0E"/>
    <w:rsid w:val="00206CEC"/>
    <w:rsid w:val="002111D5"/>
    <w:rsid w:val="002114FB"/>
    <w:rsid w:val="00211564"/>
    <w:rsid w:val="00211C54"/>
    <w:rsid w:val="002140E5"/>
    <w:rsid w:val="00215026"/>
    <w:rsid w:val="00215537"/>
    <w:rsid w:val="00215739"/>
    <w:rsid w:val="002164A7"/>
    <w:rsid w:val="002168C6"/>
    <w:rsid w:val="00217A70"/>
    <w:rsid w:val="00217B49"/>
    <w:rsid w:val="00220005"/>
    <w:rsid w:val="002200F3"/>
    <w:rsid w:val="002204B0"/>
    <w:rsid w:val="002205B6"/>
    <w:rsid w:val="00221977"/>
    <w:rsid w:val="002221FE"/>
    <w:rsid w:val="00222353"/>
    <w:rsid w:val="00222DC4"/>
    <w:rsid w:val="00223665"/>
    <w:rsid w:val="00226788"/>
    <w:rsid w:val="002303A8"/>
    <w:rsid w:val="0023099B"/>
    <w:rsid w:val="00230E40"/>
    <w:rsid w:val="00230F38"/>
    <w:rsid w:val="00231DC8"/>
    <w:rsid w:val="002325C1"/>
    <w:rsid w:val="002327C2"/>
    <w:rsid w:val="002338CB"/>
    <w:rsid w:val="00233EE9"/>
    <w:rsid w:val="00234474"/>
    <w:rsid w:val="00236B2D"/>
    <w:rsid w:val="00240938"/>
    <w:rsid w:val="0024164C"/>
    <w:rsid w:val="00241A71"/>
    <w:rsid w:val="00241E2D"/>
    <w:rsid w:val="0024203C"/>
    <w:rsid w:val="002424C2"/>
    <w:rsid w:val="00242CB6"/>
    <w:rsid w:val="00245476"/>
    <w:rsid w:val="00246DAB"/>
    <w:rsid w:val="00247ABB"/>
    <w:rsid w:val="00247EAB"/>
    <w:rsid w:val="0025142B"/>
    <w:rsid w:val="00252C46"/>
    <w:rsid w:val="00253151"/>
    <w:rsid w:val="00253D61"/>
    <w:rsid w:val="00255396"/>
    <w:rsid w:val="00260472"/>
    <w:rsid w:val="00260C84"/>
    <w:rsid w:val="00261D87"/>
    <w:rsid w:val="0026203A"/>
    <w:rsid w:val="00262A25"/>
    <w:rsid w:val="002638BF"/>
    <w:rsid w:val="00267130"/>
    <w:rsid w:val="0026713F"/>
    <w:rsid w:val="0026717A"/>
    <w:rsid w:val="00267205"/>
    <w:rsid w:val="0026791C"/>
    <w:rsid w:val="00267E53"/>
    <w:rsid w:val="002700D9"/>
    <w:rsid w:val="002708A7"/>
    <w:rsid w:val="00270D25"/>
    <w:rsid w:val="00270F52"/>
    <w:rsid w:val="00271157"/>
    <w:rsid w:val="0027185D"/>
    <w:rsid w:val="00272F21"/>
    <w:rsid w:val="00274927"/>
    <w:rsid w:val="00274B1B"/>
    <w:rsid w:val="00275FB2"/>
    <w:rsid w:val="002760D8"/>
    <w:rsid w:val="002761F1"/>
    <w:rsid w:val="00277226"/>
    <w:rsid w:val="00281956"/>
    <w:rsid w:val="00281C81"/>
    <w:rsid w:val="00282A31"/>
    <w:rsid w:val="0028334A"/>
    <w:rsid w:val="00286767"/>
    <w:rsid w:val="00287BFE"/>
    <w:rsid w:val="00287DC0"/>
    <w:rsid w:val="00287DD1"/>
    <w:rsid w:val="00290A58"/>
    <w:rsid w:val="00293171"/>
    <w:rsid w:val="002943DA"/>
    <w:rsid w:val="0029546E"/>
    <w:rsid w:val="0029568D"/>
    <w:rsid w:val="00295AC0"/>
    <w:rsid w:val="00297F8F"/>
    <w:rsid w:val="002A0676"/>
    <w:rsid w:val="002A079F"/>
    <w:rsid w:val="002A1541"/>
    <w:rsid w:val="002A1A46"/>
    <w:rsid w:val="002A1F8A"/>
    <w:rsid w:val="002A2385"/>
    <w:rsid w:val="002A2982"/>
    <w:rsid w:val="002A2FB3"/>
    <w:rsid w:val="002A4D36"/>
    <w:rsid w:val="002A53C7"/>
    <w:rsid w:val="002A57CE"/>
    <w:rsid w:val="002A67B3"/>
    <w:rsid w:val="002A6922"/>
    <w:rsid w:val="002B004D"/>
    <w:rsid w:val="002B0758"/>
    <w:rsid w:val="002B3B15"/>
    <w:rsid w:val="002B3D79"/>
    <w:rsid w:val="002B53EB"/>
    <w:rsid w:val="002B587B"/>
    <w:rsid w:val="002B668F"/>
    <w:rsid w:val="002C20F9"/>
    <w:rsid w:val="002C3834"/>
    <w:rsid w:val="002C590D"/>
    <w:rsid w:val="002C737A"/>
    <w:rsid w:val="002D09A8"/>
    <w:rsid w:val="002D0FC5"/>
    <w:rsid w:val="002D2254"/>
    <w:rsid w:val="002D3237"/>
    <w:rsid w:val="002D3355"/>
    <w:rsid w:val="002D3708"/>
    <w:rsid w:val="002D3B86"/>
    <w:rsid w:val="002D5137"/>
    <w:rsid w:val="002D545F"/>
    <w:rsid w:val="002D6156"/>
    <w:rsid w:val="002D7174"/>
    <w:rsid w:val="002E000C"/>
    <w:rsid w:val="002E0974"/>
    <w:rsid w:val="002E14BB"/>
    <w:rsid w:val="002E1919"/>
    <w:rsid w:val="002E2C7D"/>
    <w:rsid w:val="002E2CE2"/>
    <w:rsid w:val="002E4117"/>
    <w:rsid w:val="002E537F"/>
    <w:rsid w:val="002E660F"/>
    <w:rsid w:val="002E724D"/>
    <w:rsid w:val="002E7437"/>
    <w:rsid w:val="002E7565"/>
    <w:rsid w:val="002E7AB1"/>
    <w:rsid w:val="002F036F"/>
    <w:rsid w:val="002F069E"/>
    <w:rsid w:val="002F06A1"/>
    <w:rsid w:val="002F0C0C"/>
    <w:rsid w:val="002F0CF1"/>
    <w:rsid w:val="002F161C"/>
    <w:rsid w:val="002F225A"/>
    <w:rsid w:val="002F2DCD"/>
    <w:rsid w:val="002F3EEC"/>
    <w:rsid w:val="002F4AA1"/>
    <w:rsid w:val="002F53C2"/>
    <w:rsid w:val="002F6C74"/>
    <w:rsid w:val="00300158"/>
    <w:rsid w:val="003002E4"/>
    <w:rsid w:val="0030138E"/>
    <w:rsid w:val="003020E0"/>
    <w:rsid w:val="0030226D"/>
    <w:rsid w:val="003023E1"/>
    <w:rsid w:val="00302478"/>
    <w:rsid w:val="003028B8"/>
    <w:rsid w:val="003028FB"/>
    <w:rsid w:val="00302B0C"/>
    <w:rsid w:val="00303227"/>
    <w:rsid w:val="00303708"/>
    <w:rsid w:val="0030373E"/>
    <w:rsid w:val="00303770"/>
    <w:rsid w:val="00303B99"/>
    <w:rsid w:val="00304646"/>
    <w:rsid w:val="003061C7"/>
    <w:rsid w:val="00306671"/>
    <w:rsid w:val="00306F10"/>
    <w:rsid w:val="003106D8"/>
    <w:rsid w:val="00311EEB"/>
    <w:rsid w:val="00312370"/>
    <w:rsid w:val="00312B7C"/>
    <w:rsid w:val="003135E1"/>
    <w:rsid w:val="00313C06"/>
    <w:rsid w:val="00313D68"/>
    <w:rsid w:val="00314280"/>
    <w:rsid w:val="0031438E"/>
    <w:rsid w:val="00314BC0"/>
    <w:rsid w:val="00316008"/>
    <w:rsid w:val="0031636A"/>
    <w:rsid w:val="0031638A"/>
    <w:rsid w:val="003174F9"/>
    <w:rsid w:val="003177DA"/>
    <w:rsid w:val="00317952"/>
    <w:rsid w:val="00317B0A"/>
    <w:rsid w:val="00317DD6"/>
    <w:rsid w:val="00320E14"/>
    <w:rsid w:val="003211E5"/>
    <w:rsid w:val="003215C3"/>
    <w:rsid w:val="003220D8"/>
    <w:rsid w:val="0032267D"/>
    <w:rsid w:val="00322D07"/>
    <w:rsid w:val="0032306F"/>
    <w:rsid w:val="00323306"/>
    <w:rsid w:val="003237F4"/>
    <w:rsid w:val="00323E4E"/>
    <w:rsid w:val="00324C96"/>
    <w:rsid w:val="00324E0F"/>
    <w:rsid w:val="003250FB"/>
    <w:rsid w:val="00325692"/>
    <w:rsid w:val="0032617E"/>
    <w:rsid w:val="003263EF"/>
    <w:rsid w:val="0032671A"/>
    <w:rsid w:val="00330E26"/>
    <w:rsid w:val="003331A3"/>
    <w:rsid w:val="00333E71"/>
    <w:rsid w:val="0033417A"/>
    <w:rsid w:val="00334195"/>
    <w:rsid w:val="00334253"/>
    <w:rsid w:val="003351E8"/>
    <w:rsid w:val="00336A5C"/>
    <w:rsid w:val="00337DCF"/>
    <w:rsid w:val="003405B8"/>
    <w:rsid w:val="00340F27"/>
    <w:rsid w:val="003418BA"/>
    <w:rsid w:val="00341DED"/>
    <w:rsid w:val="0034239F"/>
    <w:rsid w:val="003435D0"/>
    <w:rsid w:val="00344848"/>
    <w:rsid w:val="003452B8"/>
    <w:rsid w:val="00345AAB"/>
    <w:rsid w:val="00346C46"/>
    <w:rsid w:val="003511E5"/>
    <w:rsid w:val="00351DDD"/>
    <w:rsid w:val="00353887"/>
    <w:rsid w:val="00354DCC"/>
    <w:rsid w:val="00357F9D"/>
    <w:rsid w:val="003613DF"/>
    <w:rsid w:val="003616CD"/>
    <w:rsid w:val="003616EC"/>
    <w:rsid w:val="00361E0A"/>
    <w:rsid w:val="00361F06"/>
    <w:rsid w:val="00362376"/>
    <w:rsid w:val="003625FE"/>
    <w:rsid w:val="003628AA"/>
    <w:rsid w:val="003629E0"/>
    <w:rsid w:val="00362AB3"/>
    <w:rsid w:val="00364AE2"/>
    <w:rsid w:val="00365142"/>
    <w:rsid w:val="0036658D"/>
    <w:rsid w:val="00366B9E"/>
    <w:rsid w:val="003714DF"/>
    <w:rsid w:val="003729F0"/>
    <w:rsid w:val="00372CBD"/>
    <w:rsid w:val="00373638"/>
    <w:rsid w:val="00373A17"/>
    <w:rsid w:val="0037423A"/>
    <w:rsid w:val="00375847"/>
    <w:rsid w:val="00375E70"/>
    <w:rsid w:val="00376070"/>
    <w:rsid w:val="0037689D"/>
    <w:rsid w:val="00376951"/>
    <w:rsid w:val="003770BC"/>
    <w:rsid w:val="00377174"/>
    <w:rsid w:val="00377365"/>
    <w:rsid w:val="00377ACE"/>
    <w:rsid w:val="003819CD"/>
    <w:rsid w:val="003819D1"/>
    <w:rsid w:val="00382188"/>
    <w:rsid w:val="00382386"/>
    <w:rsid w:val="003846E3"/>
    <w:rsid w:val="003857FF"/>
    <w:rsid w:val="00385B15"/>
    <w:rsid w:val="00386742"/>
    <w:rsid w:val="00386A99"/>
    <w:rsid w:val="003878AB"/>
    <w:rsid w:val="00391258"/>
    <w:rsid w:val="00392AA6"/>
    <w:rsid w:val="00394FC2"/>
    <w:rsid w:val="003954D5"/>
    <w:rsid w:val="003958ED"/>
    <w:rsid w:val="0039643E"/>
    <w:rsid w:val="0039647D"/>
    <w:rsid w:val="00397AFE"/>
    <w:rsid w:val="003A085A"/>
    <w:rsid w:val="003A09AE"/>
    <w:rsid w:val="003A185C"/>
    <w:rsid w:val="003A1F0D"/>
    <w:rsid w:val="003A30B9"/>
    <w:rsid w:val="003A4815"/>
    <w:rsid w:val="003A5951"/>
    <w:rsid w:val="003A6AB5"/>
    <w:rsid w:val="003B00DF"/>
    <w:rsid w:val="003B0651"/>
    <w:rsid w:val="003B0CDF"/>
    <w:rsid w:val="003B1807"/>
    <w:rsid w:val="003B205A"/>
    <w:rsid w:val="003B2AC9"/>
    <w:rsid w:val="003B2FAF"/>
    <w:rsid w:val="003B4FBB"/>
    <w:rsid w:val="003B4FDD"/>
    <w:rsid w:val="003B5822"/>
    <w:rsid w:val="003B621F"/>
    <w:rsid w:val="003B67F2"/>
    <w:rsid w:val="003B771D"/>
    <w:rsid w:val="003C2F5D"/>
    <w:rsid w:val="003C2F9D"/>
    <w:rsid w:val="003C3B00"/>
    <w:rsid w:val="003C41AE"/>
    <w:rsid w:val="003C4A93"/>
    <w:rsid w:val="003C5AD1"/>
    <w:rsid w:val="003C5B84"/>
    <w:rsid w:val="003C5D39"/>
    <w:rsid w:val="003C5DEF"/>
    <w:rsid w:val="003C762F"/>
    <w:rsid w:val="003C77E4"/>
    <w:rsid w:val="003C7C3B"/>
    <w:rsid w:val="003D1160"/>
    <w:rsid w:val="003D18D5"/>
    <w:rsid w:val="003D193D"/>
    <w:rsid w:val="003D1D52"/>
    <w:rsid w:val="003D1FEB"/>
    <w:rsid w:val="003D2085"/>
    <w:rsid w:val="003D2995"/>
    <w:rsid w:val="003D35D4"/>
    <w:rsid w:val="003D3904"/>
    <w:rsid w:val="003D4C18"/>
    <w:rsid w:val="003D7126"/>
    <w:rsid w:val="003D71A9"/>
    <w:rsid w:val="003E016D"/>
    <w:rsid w:val="003E091C"/>
    <w:rsid w:val="003E1E45"/>
    <w:rsid w:val="003E2015"/>
    <w:rsid w:val="003E221B"/>
    <w:rsid w:val="003E28CE"/>
    <w:rsid w:val="003E34E3"/>
    <w:rsid w:val="003E40E3"/>
    <w:rsid w:val="003E417C"/>
    <w:rsid w:val="003E487B"/>
    <w:rsid w:val="003E4CDA"/>
    <w:rsid w:val="003E5060"/>
    <w:rsid w:val="003E5B19"/>
    <w:rsid w:val="003E6BB6"/>
    <w:rsid w:val="003E7A88"/>
    <w:rsid w:val="003F03BA"/>
    <w:rsid w:val="003F0BA3"/>
    <w:rsid w:val="003F1684"/>
    <w:rsid w:val="003F1C80"/>
    <w:rsid w:val="003F1CD3"/>
    <w:rsid w:val="003F1D94"/>
    <w:rsid w:val="003F28D0"/>
    <w:rsid w:val="003F29A7"/>
    <w:rsid w:val="003F41CE"/>
    <w:rsid w:val="003F45C2"/>
    <w:rsid w:val="003F5E06"/>
    <w:rsid w:val="003F61A0"/>
    <w:rsid w:val="003F61A2"/>
    <w:rsid w:val="003F65AC"/>
    <w:rsid w:val="003F706B"/>
    <w:rsid w:val="003F78B2"/>
    <w:rsid w:val="00401A8F"/>
    <w:rsid w:val="00403746"/>
    <w:rsid w:val="004043BA"/>
    <w:rsid w:val="00405039"/>
    <w:rsid w:val="00405045"/>
    <w:rsid w:val="00405201"/>
    <w:rsid w:val="00406F13"/>
    <w:rsid w:val="00412FCF"/>
    <w:rsid w:val="00413347"/>
    <w:rsid w:val="00414A00"/>
    <w:rsid w:val="0041551F"/>
    <w:rsid w:val="00415A86"/>
    <w:rsid w:val="00417281"/>
    <w:rsid w:val="004172DD"/>
    <w:rsid w:val="00417DB4"/>
    <w:rsid w:val="00420AB0"/>
    <w:rsid w:val="0042120A"/>
    <w:rsid w:val="00421E9D"/>
    <w:rsid w:val="00422A8F"/>
    <w:rsid w:val="00422D37"/>
    <w:rsid w:val="00424AE9"/>
    <w:rsid w:val="00425FFC"/>
    <w:rsid w:val="00426341"/>
    <w:rsid w:val="004273CC"/>
    <w:rsid w:val="00427AFB"/>
    <w:rsid w:val="0043088F"/>
    <w:rsid w:val="00430F93"/>
    <w:rsid w:val="004317C0"/>
    <w:rsid w:val="00431C8D"/>
    <w:rsid w:val="00432301"/>
    <w:rsid w:val="00433AB7"/>
    <w:rsid w:val="00433B0F"/>
    <w:rsid w:val="00434EE1"/>
    <w:rsid w:val="004353E9"/>
    <w:rsid w:val="0043637D"/>
    <w:rsid w:val="00437722"/>
    <w:rsid w:val="004378E9"/>
    <w:rsid w:val="00437DDA"/>
    <w:rsid w:val="004419B6"/>
    <w:rsid w:val="00441E30"/>
    <w:rsid w:val="0044239A"/>
    <w:rsid w:val="004428F1"/>
    <w:rsid w:val="00442F2F"/>
    <w:rsid w:val="004436C2"/>
    <w:rsid w:val="00444107"/>
    <w:rsid w:val="00446567"/>
    <w:rsid w:val="00447E02"/>
    <w:rsid w:val="0045155C"/>
    <w:rsid w:val="004516F6"/>
    <w:rsid w:val="00452E66"/>
    <w:rsid w:val="00453EB0"/>
    <w:rsid w:val="004553A3"/>
    <w:rsid w:val="004556B2"/>
    <w:rsid w:val="0045613E"/>
    <w:rsid w:val="004567F9"/>
    <w:rsid w:val="00456D56"/>
    <w:rsid w:val="00460644"/>
    <w:rsid w:val="00460F65"/>
    <w:rsid w:val="00461C66"/>
    <w:rsid w:val="00462B76"/>
    <w:rsid w:val="00464347"/>
    <w:rsid w:val="00464DF5"/>
    <w:rsid w:val="00465435"/>
    <w:rsid w:val="004668A2"/>
    <w:rsid w:val="004673AB"/>
    <w:rsid w:val="00467831"/>
    <w:rsid w:val="00470E49"/>
    <w:rsid w:val="00471E8D"/>
    <w:rsid w:val="004724C1"/>
    <w:rsid w:val="00472947"/>
    <w:rsid w:val="0047413C"/>
    <w:rsid w:val="004749DF"/>
    <w:rsid w:val="00475B49"/>
    <w:rsid w:val="00475DC1"/>
    <w:rsid w:val="00476690"/>
    <w:rsid w:val="00480207"/>
    <w:rsid w:val="00481A33"/>
    <w:rsid w:val="0048452F"/>
    <w:rsid w:val="00484764"/>
    <w:rsid w:val="00484C78"/>
    <w:rsid w:val="0048504F"/>
    <w:rsid w:val="0048519E"/>
    <w:rsid w:val="00485C0D"/>
    <w:rsid w:val="00490C9F"/>
    <w:rsid w:val="00491F02"/>
    <w:rsid w:val="00492646"/>
    <w:rsid w:val="004926F9"/>
    <w:rsid w:val="00494904"/>
    <w:rsid w:val="004949C2"/>
    <w:rsid w:val="004955A5"/>
    <w:rsid w:val="00495E09"/>
    <w:rsid w:val="00496E64"/>
    <w:rsid w:val="004A04F5"/>
    <w:rsid w:val="004A0A09"/>
    <w:rsid w:val="004A0DAD"/>
    <w:rsid w:val="004A1645"/>
    <w:rsid w:val="004A1B2F"/>
    <w:rsid w:val="004A1E71"/>
    <w:rsid w:val="004A2AF6"/>
    <w:rsid w:val="004A3B23"/>
    <w:rsid w:val="004A47FD"/>
    <w:rsid w:val="004A48DA"/>
    <w:rsid w:val="004A496D"/>
    <w:rsid w:val="004A4C19"/>
    <w:rsid w:val="004A57AA"/>
    <w:rsid w:val="004A7EF4"/>
    <w:rsid w:val="004B00EE"/>
    <w:rsid w:val="004B02F9"/>
    <w:rsid w:val="004B0E7B"/>
    <w:rsid w:val="004B0FA7"/>
    <w:rsid w:val="004B2837"/>
    <w:rsid w:val="004B28A9"/>
    <w:rsid w:val="004B396C"/>
    <w:rsid w:val="004B405B"/>
    <w:rsid w:val="004B5443"/>
    <w:rsid w:val="004B5E32"/>
    <w:rsid w:val="004B6B24"/>
    <w:rsid w:val="004B7865"/>
    <w:rsid w:val="004C0703"/>
    <w:rsid w:val="004C0ED5"/>
    <w:rsid w:val="004C126F"/>
    <w:rsid w:val="004C140F"/>
    <w:rsid w:val="004C2AFD"/>
    <w:rsid w:val="004C495D"/>
    <w:rsid w:val="004C544C"/>
    <w:rsid w:val="004C6E1E"/>
    <w:rsid w:val="004C7188"/>
    <w:rsid w:val="004C7D19"/>
    <w:rsid w:val="004D0216"/>
    <w:rsid w:val="004D0E21"/>
    <w:rsid w:val="004D1894"/>
    <w:rsid w:val="004D1A4C"/>
    <w:rsid w:val="004D2502"/>
    <w:rsid w:val="004D293A"/>
    <w:rsid w:val="004D2A74"/>
    <w:rsid w:val="004D3C9B"/>
    <w:rsid w:val="004D4B0A"/>
    <w:rsid w:val="004D585F"/>
    <w:rsid w:val="004D5ACA"/>
    <w:rsid w:val="004E04F9"/>
    <w:rsid w:val="004E0842"/>
    <w:rsid w:val="004E0E50"/>
    <w:rsid w:val="004E27AC"/>
    <w:rsid w:val="004E2E85"/>
    <w:rsid w:val="004E330D"/>
    <w:rsid w:val="004E4E33"/>
    <w:rsid w:val="004E4FAB"/>
    <w:rsid w:val="004E59C8"/>
    <w:rsid w:val="004E7DDF"/>
    <w:rsid w:val="004F0DED"/>
    <w:rsid w:val="004F150F"/>
    <w:rsid w:val="004F1CBA"/>
    <w:rsid w:val="004F1D1F"/>
    <w:rsid w:val="004F2CA5"/>
    <w:rsid w:val="004F3D20"/>
    <w:rsid w:val="004F4AD6"/>
    <w:rsid w:val="004F4FB2"/>
    <w:rsid w:val="004F553D"/>
    <w:rsid w:val="004F5AC8"/>
    <w:rsid w:val="004F649D"/>
    <w:rsid w:val="004F7492"/>
    <w:rsid w:val="004F7F56"/>
    <w:rsid w:val="0050076C"/>
    <w:rsid w:val="00500B1B"/>
    <w:rsid w:val="00501C69"/>
    <w:rsid w:val="00502B79"/>
    <w:rsid w:val="005033DF"/>
    <w:rsid w:val="005044E7"/>
    <w:rsid w:val="005059F4"/>
    <w:rsid w:val="00505D26"/>
    <w:rsid w:val="00506365"/>
    <w:rsid w:val="005067FA"/>
    <w:rsid w:val="00506C27"/>
    <w:rsid w:val="00510330"/>
    <w:rsid w:val="00510550"/>
    <w:rsid w:val="00511B28"/>
    <w:rsid w:val="00511FE4"/>
    <w:rsid w:val="00513787"/>
    <w:rsid w:val="0051507A"/>
    <w:rsid w:val="00516434"/>
    <w:rsid w:val="00516AE5"/>
    <w:rsid w:val="0051712D"/>
    <w:rsid w:val="0052196B"/>
    <w:rsid w:val="0052212B"/>
    <w:rsid w:val="005226BB"/>
    <w:rsid w:val="00523642"/>
    <w:rsid w:val="00523F31"/>
    <w:rsid w:val="005246CE"/>
    <w:rsid w:val="00524C5A"/>
    <w:rsid w:val="00525E28"/>
    <w:rsid w:val="00526459"/>
    <w:rsid w:val="005301F3"/>
    <w:rsid w:val="00530507"/>
    <w:rsid w:val="005318E4"/>
    <w:rsid w:val="0053319C"/>
    <w:rsid w:val="00533878"/>
    <w:rsid w:val="00533CAD"/>
    <w:rsid w:val="00534F12"/>
    <w:rsid w:val="00535749"/>
    <w:rsid w:val="00536360"/>
    <w:rsid w:val="00536888"/>
    <w:rsid w:val="00537B0F"/>
    <w:rsid w:val="00537DE2"/>
    <w:rsid w:val="00540EBC"/>
    <w:rsid w:val="00541891"/>
    <w:rsid w:val="00543865"/>
    <w:rsid w:val="005438F7"/>
    <w:rsid w:val="00543E75"/>
    <w:rsid w:val="00543EB0"/>
    <w:rsid w:val="005447B1"/>
    <w:rsid w:val="0054490F"/>
    <w:rsid w:val="00544AEA"/>
    <w:rsid w:val="0054579C"/>
    <w:rsid w:val="00547D19"/>
    <w:rsid w:val="00547E60"/>
    <w:rsid w:val="00550591"/>
    <w:rsid w:val="00554485"/>
    <w:rsid w:val="00554666"/>
    <w:rsid w:val="005547C1"/>
    <w:rsid w:val="00554CA5"/>
    <w:rsid w:val="005552C9"/>
    <w:rsid w:val="00555873"/>
    <w:rsid w:val="00556061"/>
    <w:rsid w:val="0055617A"/>
    <w:rsid w:val="005608FF"/>
    <w:rsid w:val="005612E7"/>
    <w:rsid w:val="005625DA"/>
    <w:rsid w:val="00564697"/>
    <w:rsid w:val="005651D1"/>
    <w:rsid w:val="00565983"/>
    <w:rsid w:val="005659B0"/>
    <w:rsid w:val="00565D23"/>
    <w:rsid w:val="00566FC5"/>
    <w:rsid w:val="0056799F"/>
    <w:rsid w:val="00567B67"/>
    <w:rsid w:val="00572408"/>
    <w:rsid w:val="00572B50"/>
    <w:rsid w:val="00574EB9"/>
    <w:rsid w:val="00577C7F"/>
    <w:rsid w:val="00577EBD"/>
    <w:rsid w:val="0058025D"/>
    <w:rsid w:val="00580C3E"/>
    <w:rsid w:val="00583BA7"/>
    <w:rsid w:val="00584FAA"/>
    <w:rsid w:val="0058546C"/>
    <w:rsid w:val="005859D7"/>
    <w:rsid w:val="005861EF"/>
    <w:rsid w:val="0058703A"/>
    <w:rsid w:val="00587F5D"/>
    <w:rsid w:val="0059034B"/>
    <w:rsid w:val="00590AB8"/>
    <w:rsid w:val="00592353"/>
    <w:rsid w:val="005923B5"/>
    <w:rsid w:val="0059249C"/>
    <w:rsid w:val="00593442"/>
    <w:rsid w:val="00593C6B"/>
    <w:rsid w:val="00593D11"/>
    <w:rsid w:val="0059422C"/>
    <w:rsid w:val="005949E2"/>
    <w:rsid w:val="0059508A"/>
    <w:rsid w:val="0059567D"/>
    <w:rsid w:val="005976DB"/>
    <w:rsid w:val="005A0331"/>
    <w:rsid w:val="005A0602"/>
    <w:rsid w:val="005A096F"/>
    <w:rsid w:val="005A1396"/>
    <w:rsid w:val="005A13D7"/>
    <w:rsid w:val="005A15C2"/>
    <w:rsid w:val="005A2B8C"/>
    <w:rsid w:val="005A32D4"/>
    <w:rsid w:val="005A3BA3"/>
    <w:rsid w:val="005A4503"/>
    <w:rsid w:val="005A53F8"/>
    <w:rsid w:val="005A54EE"/>
    <w:rsid w:val="005A5907"/>
    <w:rsid w:val="005A7D2D"/>
    <w:rsid w:val="005B082D"/>
    <w:rsid w:val="005B1ED0"/>
    <w:rsid w:val="005B3DFD"/>
    <w:rsid w:val="005B474B"/>
    <w:rsid w:val="005B4EB6"/>
    <w:rsid w:val="005B58C6"/>
    <w:rsid w:val="005B5B89"/>
    <w:rsid w:val="005B5D61"/>
    <w:rsid w:val="005C03CA"/>
    <w:rsid w:val="005C10AD"/>
    <w:rsid w:val="005C11C6"/>
    <w:rsid w:val="005C1C7D"/>
    <w:rsid w:val="005C1CB4"/>
    <w:rsid w:val="005C1E49"/>
    <w:rsid w:val="005C3FCC"/>
    <w:rsid w:val="005C479F"/>
    <w:rsid w:val="005C482D"/>
    <w:rsid w:val="005C4F93"/>
    <w:rsid w:val="005C5442"/>
    <w:rsid w:val="005C5D9D"/>
    <w:rsid w:val="005C6889"/>
    <w:rsid w:val="005C6C9B"/>
    <w:rsid w:val="005C75AA"/>
    <w:rsid w:val="005C79C3"/>
    <w:rsid w:val="005C7D1B"/>
    <w:rsid w:val="005D12F3"/>
    <w:rsid w:val="005D14F9"/>
    <w:rsid w:val="005D17C2"/>
    <w:rsid w:val="005D18DA"/>
    <w:rsid w:val="005D2AB6"/>
    <w:rsid w:val="005D3791"/>
    <w:rsid w:val="005D3987"/>
    <w:rsid w:val="005D7649"/>
    <w:rsid w:val="005D7B47"/>
    <w:rsid w:val="005E05B2"/>
    <w:rsid w:val="005E0D4E"/>
    <w:rsid w:val="005E12C9"/>
    <w:rsid w:val="005E1AFC"/>
    <w:rsid w:val="005E1C65"/>
    <w:rsid w:val="005E1FAD"/>
    <w:rsid w:val="005E3834"/>
    <w:rsid w:val="005E4486"/>
    <w:rsid w:val="005E6D62"/>
    <w:rsid w:val="005E6FF1"/>
    <w:rsid w:val="005E791C"/>
    <w:rsid w:val="005F100F"/>
    <w:rsid w:val="005F2E9D"/>
    <w:rsid w:val="005F2FDA"/>
    <w:rsid w:val="005F31BC"/>
    <w:rsid w:val="005F3766"/>
    <w:rsid w:val="005F3BD5"/>
    <w:rsid w:val="005F4372"/>
    <w:rsid w:val="005F4D9C"/>
    <w:rsid w:val="005F5E8A"/>
    <w:rsid w:val="005F6958"/>
    <w:rsid w:val="005F69DB"/>
    <w:rsid w:val="005F72FE"/>
    <w:rsid w:val="005F7821"/>
    <w:rsid w:val="005F7A74"/>
    <w:rsid w:val="005F7F59"/>
    <w:rsid w:val="00600341"/>
    <w:rsid w:val="0060086D"/>
    <w:rsid w:val="00600F46"/>
    <w:rsid w:val="0060110F"/>
    <w:rsid w:val="00601496"/>
    <w:rsid w:val="006024A5"/>
    <w:rsid w:val="00602912"/>
    <w:rsid w:val="00603290"/>
    <w:rsid w:val="00603E32"/>
    <w:rsid w:val="0060411D"/>
    <w:rsid w:val="00604564"/>
    <w:rsid w:val="0060546D"/>
    <w:rsid w:val="00605524"/>
    <w:rsid w:val="006059AF"/>
    <w:rsid w:val="006062AD"/>
    <w:rsid w:val="006063B5"/>
    <w:rsid w:val="006071C6"/>
    <w:rsid w:val="006073FB"/>
    <w:rsid w:val="0060758E"/>
    <w:rsid w:val="006076E0"/>
    <w:rsid w:val="00607CD1"/>
    <w:rsid w:val="00607D2A"/>
    <w:rsid w:val="00607FC3"/>
    <w:rsid w:val="006164EF"/>
    <w:rsid w:val="00616DEF"/>
    <w:rsid w:val="00617F03"/>
    <w:rsid w:val="006206CD"/>
    <w:rsid w:val="00620A5C"/>
    <w:rsid w:val="0062172A"/>
    <w:rsid w:val="0062208D"/>
    <w:rsid w:val="00622509"/>
    <w:rsid w:val="00622A98"/>
    <w:rsid w:val="00624877"/>
    <w:rsid w:val="00624E16"/>
    <w:rsid w:val="00624FFD"/>
    <w:rsid w:val="00625180"/>
    <w:rsid w:val="00625460"/>
    <w:rsid w:val="00626BB7"/>
    <w:rsid w:val="0062787D"/>
    <w:rsid w:val="00627A32"/>
    <w:rsid w:val="00627BC9"/>
    <w:rsid w:val="00630016"/>
    <w:rsid w:val="006302A8"/>
    <w:rsid w:val="00631864"/>
    <w:rsid w:val="00632284"/>
    <w:rsid w:val="00632E91"/>
    <w:rsid w:val="00633073"/>
    <w:rsid w:val="00633CE3"/>
    <w:rsid w:val="00633D91"/>
    <w:rsid w:val="00633E90"/>
    <w:rsid w:val="006340B3"/>
    <w:rsid w:val="00635349"/>
    <w:rsid w:val="00635450"/>
    <w:rsid w:val="00636B10"/>
    <w:rsid w:val="00636BC0"/>
    <w:rsid w:val="00636FFD"/>
    <w:rsid w:val="00637939"/>
    <w:rsid w:val="00637AD7"/>
    <w:rsid w:val="00640510"/>
    <w:rsid w:val="006422D7"/>
    <w:rsid w:val="00643344"/>
    <w:rsid w:val="0064344C"/>
    <w:rsid w:val="00643E96"/>
    <w:rsid w:val="00643F68"/>
    <w:rsid w:val="006440A2"/>
    <w:rsid w:val="00644AF1"/>
    <w:rsid w:val="006453B5"/>
    <w:rsid w:val="0064635D"/>
    <w:rsid w:val="00647B1B"/>
    <w:rsid w:val="006502D2"/>
    <w:rsid w:val="00650DDD"/>
    <w:rsid w:val="006510FB"/>
    <w:rsid w:val="00652C99"/>
    <w:rsid w:val="00652D04"/>
    <w:rsid w:val="00653524"/>
    <w:rsid w:val="00653AF0"/>
    <w:rsid w:val="00654FC6"/>
    <w:rsid w:val="00657009"/>
    <w:rsid w:val="0066045B"/>
    <w:rsid w:val="00660F5C"/>
    <w:rsid w:val="00661AAE"/>
    <w:rsid w:val="00662BE3"/>
    <w:rsid w:val="0066345F"/>
    <w:rsid w:val="006639A6"/>
    <w:rsid w:val="0066496C"/>
    <w:rsid w:val="00664EE5"/>
    <w:rsid w:val="00665EDF"/>
    <w:rsid w:val="00666034"/>
    <w:rsid w:val="00666C4B"/>
    <w:rsid w:val="00666F41"/>
    <w:rsid w:val="00667AD5"/>
    <w:rsid w:val="0067003C"/>
    <w:rsid w:val="006704B5"/>
    <w:rsid w:val="00670807"/>
    <w:rsid w:val="00670BCC"/>
    <w:rsid w:val="006712D7"/>
    <w:rsid w:val="00671426"/>
    <w:rsid w:val="00671AC5"/>
    <w:rsid w:val="006723A4"/>
    <w:rsid w:val="006743F8"/>
    <w:rsid w:val="00675515"/>
    <w:rsid w:val="00675BF9"/>
    <w:rsid w:val="00676598"/>
    <w:rsid w:val="0068011E"/>
    <w:rsid w:val="00680999"/>
    <w:rsid w:val="00680A6A"/>
    <w:rsid w:val="006818A8"/>
    <w:rsid w:val="00681E4C"/>
    <w:rsid w:val="006828EA"/>
    <w:rsid w:val="00683853"/>
    <w:rsid w:val="00684E65"/>
    <w:rsid w:val="006900A1"/>
    <w:rsid w:val="00690915"/>
    <w:rsid w:val="00690E45"/>
    <w:rsid w:val="0069124C"/>
    <w:rsid w:val="00693208"/>
    <w:rsid w:val="006933DA"/>
    <w:rsid w:val="00693455"/>
    <w:rsid w:val="00695894"/>
    <w:rsid w:val="006970B4"/>
    <w:rsid w:val="006973F5"/>
    <w:rsid w:val="00697C2B"/>
    <w:rsid w:val="006A0C76"/>
    <w:rsid w:val="006A0DD5"/>
    <w:rsid w:val="006A0E65"/>
    <w:rsid w:val="006A132D"/>
    <w:rsid w:val="006A146F"/>
    <w:rsid w:val="006A1580"/>
    <w:rsid w:val="006A1880"/>
    <w:rsid w:val="006A1925"/>
    <w:rsid w:val="006A1C62"/>
    <w:rsid w:val="006A1D5D"/>
    <w:rsid w:val="006A20DF"/>
    <w:rsid w:val="006A3379"/>
    <w:rsid w:val="006A3C12"/>
    <w:rsid w:val="006A4259"/>
    <w:rsid w:val="006A4CB7"/>
    <w:rsid w:val="006A4D58"/>
    <w:rsid w:val="006A593A"/>
    <w:rsid w:val="006A6394"/>
    <w:rsid w:val="006A67A2"/>
    <w:rsid w:val="006A715A"/>
    <w:rsid w:val="006A74FC"/>
    <w:rsid w:val="006A796B"/>
    <w:rsid w:val="006A7A56"/>
    <w:rsid w:val="006B0B3E"/>
    <w:rsid w:val="006B0FB5"/>
    <w:rsid w:val="006B170C"/>
    <w:rsid w:val="006B1E15"/>
    <w:rsid w:val="006B2087"/>
    <w:rsid w:val="006B2E5E"/>
    <w:rsid w:val="006B3561"/>
    <w:rsid w:val="006B418B"/>
    <w:rsid w:val="006B43A5"/>
    <w:rsid w:val="006B4A8E"/>
    <w:rsid w:val="006B4DB2"/>
    <w:rsid w:val="006B537E"/>
    <w:rsid w:val="006C02D8"/>
    <w:rsid w:val="006C045A"/>
    <w:rsid w:val="006C0EFD"/>
    <w:rsid w:val="006C1137"/>
    <w:rsid w:val="006C17B5"/>
    <w:rsid w:val="006C2C68"/>
    <w:rsid w:val="006C318B"/>
    <w:rsid w:val="006C3E2A"/>
    <w:rsid w:val="006C6595"/>
    <w:rsid w:val="006C69AE"/>
    <w:rsid w:val="006C7022"/>
    <w:rsid w:val="006C7BE1"/>
    <w:rsid w:val="006D07FD"/>
    <w:rsid w:val="006D0C40"/>
    <w:rsid w:val="006D0EDB"/>
    <w:rsid w:val="006D16E0"/>
    <w:rsid w:val="006D2848"/>
    <w:rsid w:val="006D5D09"/>
    <w:rsid w:val="006D6832"/>
    <w:rsid w:val="006D70B0"/>
    <w:rsid w:val="006D78E5"/>
    <w:rsid w:val="006D7B26"/>
    <w:rsid w:val="006E055A"/>
    <w:rsid w:val="006E22A2"/>
    <w:rsid w:val="006E3398"/>
    <w:rsid w:val="006E4581"/>
    <w:rsid w:val="006E64A2"/>
    <w:rsid w:val="006E693B"/>
    <w:rsid w:val="006E6BA6"/>
    <w:rsid w:val="006E7890"/>
    <w:rsid w:val="006F0493"/>
    <w:rsid w:val="006F1135"/>
    <w:rsid w:val="006F1BF3"/>
    <w:rsid w:val="006F1E1A"/>
    <w:rsid w:val="006F2037"/>
    <w:rsid w:val="006F3E5A"/>
    <w:rsid w:val="006F47E4"/>
    <w:rsid w:val="006F5931"/>
    <w:rsid w:val="006F7085"/>
    <w:rsid w:val="006F71E1"/>
    <w:rsid w:val="006F75F5"/>
    <w:rsid w:val="00700555"/>
    <w:rsid w:val="0070067A"/>
    <w:rsid w:val="00700AB2"/>
    <w:rsid w:val="007025DF"/>
    <w:rsid w:val="00702A3A"/>
    <w:rsid w:val="00703AD1"/>
    <w:rsid w:val="0070514B"/>
    <w:rsid w:val="00705B2A"/>
    <w:rsid w:val="00707A43"/>
    <w:rsid w:val="0071119D"/>
    <w:rsid w:val="007118B0"/>
    <w:rsid w:val="00712914"/>
    <w:rsid w:val="00713CF5"/>
    <w:rsid w:val="00714AEE"/>
    <w:rsid w:val="00714ECB"/>
    <w:rsid w:val="0071635F"/>
    <w:rsid w:val="00716D5C"/>
    <w:rsid w:val="00717605"/>
    <w:rsid w:val="0072002A"/>
    <w:rsid w:val="00720193"/>
    <w:rsid w:val="00720253"/>
    <w:rsid w:val="00720BA7"/>
    <w:rsid w:val="00721220"/>
    <w:rsid w:val="00721254"/>
    <w:rsid w:val="0072157F"/>
    <w:rsid w:val="00722191"/>
    <w:rsid w:val="0072445D"/>
    <w:rsid w:val="0072472F"/>
    <w:rsid w:val="00724EC9"/>
    <w:rsid w:val="0072546A"/>
    <w:rsid w:val="0072705E"/>
    <w:rsid w:val="007275FE"/>
    <w:rsid w:val="00727FCB"/>
    <w:rsid w:val="0073015B"/>
    <w:rsid w:val="00730355"/>
    <w:rsid w:val="00730CCE"/>
    <w:rsid w:val="00730EFA"/>
    <w:rsid w:val="00731BD2"/>
    <w:rsid w:val="0073203F"/>
    <w:rsid w:val="00732B5C"/>
    <w:rsid w:val="00733088"/>
    <w:rsid w:val="007343B1"/>
    <w:rsid w:val="00734E94"/>
    <w:rsid w:val="00735CDE"/>
    <w:rsid w:val="0073655D"/>
    <w:rsid w:val="00740104"/>
    <w:rsid w:val="00740535"/>
    <w:rsid w:val="00740814"/>
    <w:rsid w:val="00741229"/>
    <w:rsid w:val="007418B7"/>
    <w:rsid w:val="0074223C"/>
    <w:rsid w:val="00743072"/>
    <w:rsid w:val="0074348A"/>
    <w:rsid w:val="0074362B"/>
    <w:rsid w:val="00743E71"/>
    <w:rsid w:val="00743EFD"/>
    <w:rsid w:val="00744322"/>
    <w:rsid w:val="00744C7D"/>
    <w:rsid w:val="007450AE"/>
    <w:rsid w:val="0074607D"/>
    <w:rsid w:val="00746C3E"/>
    <w:rsid w:val="0074767F"/>
    <w:rsid w:val="00747983"/>
    <w:rsid w:val="0075281A"/>
    <w:rsid w:val="00752F1B"/>
    <w:rsid w:val="0075339F"/>
    <w:rsid w:val="00754549"/>
    <w:rsid w:val="00755DCF"/>
    <w:rsid w:val="0075600D"/>
    <w:rsid w:val="00756738"/>
    <w:rsid w:val="00756BDA"/>
    <w:rsid w:val="00756EC4"/>
    <w:rsid w:val="00761572"/>
    <w:rsid w:val="00761A29"/>
    <w:rsid w:val="00761A6C"/>
    <w:rsid w:val="007633D2"/>
    <w:rsid w:val="00764B83"/>
    <w:rsid w:val="00766355"/>
    <w:rsid w:val="007706D0"/>
    <w:rsid w:val="0077135D"/>
    <w:rsid w:val="007724E0"/>
    <w:rsid w:val="00772689"/>
    <w:rsid w:val="00774503"/>
    <w:rsid w:val="0077488B"/>
    <w:rsid w:val="00774D25"/>
    <w:rsid w:val="00776252"/>
    <w:rsid w:val="00776A77"/>
    <w:rsid w:val="007773C3"/>
    <w:rsid w:val="00777AA5"/>
    <w:rsid w:val="00780202"/>
    <w:rsid w:val="007805F3"/>
    <w:rsid w:val="00780FFE"/>
    <w:rsid w:val="00781BB7"/>
    <w:rsid w:val="00782496"/>
    <w:rsid w:val="007828CD"/>
    <w:rsid w:val="00784395"/>
    <w:rsid w:val="007846F7"/>
    <w:rsid w:val="0078624F"/>
    <w:rsid w:val="00786914"/>
    <w:rsid w:val="00786A6A"/>
    <w:rsid w:val="0079004D"/>
    <w:rsid w:val="00790F3B"/>
    <w:rsid w:val="0079216A"/>
    <w:rsid w:val="007927B5"/>
    <w:rsid w:val="00794384"/>
    <w:rsid w:val="0079450F"/>
    <w:rsid w:val="007967B2"/>
    <w:rsid w:val="00796922"/>
    <w:rsid w:val="007972B4"/>
    <w:rsid w:val="0079759A"/>
    <w:rsid w:val="00797DF7"/>
    <w:rsid w:val="007A086A"/>
    <w:rsid w:val="007A139F"/>
    <w:rsid w:val="007A1C14"/>
    <w:rsid w:val="007A1F04"/>
    <w:rsid w:val="007A2842"/>
    <w:rsid w:val="007A370B"/>
    <w:rsid w:val="007A5074"/>
    <w:rsid w:val="007A5EB6"/>
    <w:rsid w:val="007A5FB5"/>
    <w:rsid w:val="007A6E33"/>
    <w:rsid w:val="007B15BF"/>
    <w:rsid w:val="007B1EAD"/>
    <w:rsid w:val="007B1EB5"/>
    <w:rsid w:val="007B336C"/>
    <w:rsid w:val="007B4636"/>
    <w:rsid w:val="007B4A55"/>
    <w:rsid w:val="007B5933"/>
    <w:rsid w:val="007B601E"/>
    <w:rsid w:val="007B69DD"/>
    <w:rsid w:val="007B79A0"/>
    <w:rsid w:val="007C0EF0"/>
    <w:rsid w:val="007C1131"/>
    <w:rsid w:val="007C114D"/>
    <w:rsid w:val="007C12A4"/>
    <w:rsid w:val="007C19A0"/>
    <w:rsid w:val="007C1FBA"/>
    <w:rsid w:val="007C239A"/>
    <w:rsid w:val="007C2EEA"/>
    <w:rsid w:val="007C3E9C"/>
    <w:rsid w:val="007C3ED1"/>
    <w:rsid w:val="007C5BF7"/>
    <w:rsid w:val="007C6F9D"/>
    <w:rsid w:val="007C7489"/>
    <w:rsid w:val="007C7708"/>
    <w:rsid w:val="007C7E9E"/>
    <w:rsid w:val="007D0906"/>
    <w:rsid w:val="007D0A46"/>
    <w:rsid w:val="007D0C98"/>
    <w:rsid w:val="007D1929"/>
    <w:rsid w:val="007D21C3"/>
    <w:rsid w:val="007D2EE9"/>
    <w:rsid w:val="007D34C2"/>
    <w:rsid w:val="007D37F0"/>
    <w:rsid w:val="007D3FC7"/>
    <w:rsid w:val="007D460F"/>
    <w:rsid w:val="007D4A6F"/>
    <w:rsid w:val="007D4E3C"/>
    <w:rsid w:val="007D4EBC"/>
    <w:rsid w:val="007D52A7"/>
    <w:rsid w:val="007D5369"/>
    <w:rsid w:val="007D59DE"/>
    <w:rsid w:val="007D66B4"/>
    <w:rsid w:val="007D6F32"/>
    <w:rsid w:val="007D737A"/>
    <w:rsid w:val="007E01CB"/>
    <w:rsid w:val="007E0CB9"/>
    <w:rsid w:val="007E1B27"/>
    <w:rsid w:val="007E1BFC"/>
    <w:rsid w:val="007E2980"/>
    <w:rsid w:val="007E3C26"/>
    <w:rsid w:val="007E3F7C"/>
    <w:rsid w:val="007E4A4F"/>
    <w:rsid w:val="007E50C3"/>
    <w:rsid w:val="007E61B5"/>
    <w:rsid w:val="007E6C90"/>
    <w:rsid w:val="007E7FF2"/>
    <w:rsid w:val="007F006F"/>
    <w:rsid w:val="007F0652"/>
    <w:rsid w:val="007F0A11"/>
    <w:rsid w:val="007F0A87"/>
    <w:rsid w:val="007F0CE5"/>
    <w:rsid w:val="007F0D60"/>
    <w:rsid w:val="007F166C"/>
    <w:rsid w:val="007F1CDF"/>
    <w:rsid w:val="007F1F5F"/>
    <w:rsid w:val="007F2111"/>
    <w:rsid w:val="007F26D9"/>
    <w:rsid w:val="007F2AF0"/>
    <w:rsid w:val="007F4217"/>
    <w:rsid w:val="007F43FD"/>
    <w:rsid w:val="007F5AC6"/>
    <w:rsid w:val="007F61D1"/>
    <w:rsid w:val="007F6C46"/>
    <w:rsid w:val="007F71E6"/>
    <w:rsid w:val="007F7A2B"/>
    <w:rsid w:val="007F7BC8"/>
    <w:rsid w:val="0080005A"/>
    <w:rsid w:val="0080017C"/>
    <w:rsid w:val="008002FC"/>
    <w:rsid w:val="008005BD"/>
    <w:rsid w:val="00800D66"/>
    <w:rsid w:val="008015EE"/>
    <w:rsid w:val="0080169E"/>
    <w:rsid w:val="0080247B"/>
    <w:rsid w:val="008024BC"/>
    <w:rsid w:val="00802A65"/>
    <w:rsid w:val="00802B0B"/>
    <w:rsid w:val="0080314A"/>
    <w:rsid w:val="00803852"/>
    <w:rsid w:val="00803CD5"/>
    <w:rsid w:val="00804129"/>
    <w:rsid w:val="0080513C"/>
    <w:rsid w:val="00806F25"/>
    <w:rsid w:val="008070F4"/>
    <w:rsid w:val="0081012D"/>
    <w:rsid w:val="00811A63"/>
    <w:rsid w:val="00811C53"/>
    <w:rsid w:val="008135EF"/>
    <w:rsid w:val="008151A6"/>
    <w:rsid w:val="008162AC"/>
    <w:rsid w:val="00816625"/>
    <w:rsid w:val="00817870"/>
    <w:rsid w:val="00820B39"/>
    <w:rsid w:val="00821A1D"/>
    <w:rsid w:val="00821B14"/>
    <w:rsid w:val="0082206C"/>
    <w:rsid w:val="008227B3"/>
    <w:rsid w:val="00822AC7"/>
    <w:rsid w:val="008242F3"/>
    <w:rsid w:val="008244CA"/>
    <w:rsid w:val="00824B15"/>
    <w:rsid w:val="00825213"/>
    <w:rsid w:val="00826221"/>
    <w:rsid w:val="00826534"/>
    <w:rsid w:val="00827F49"/>
    <w:rsid w:val="00830B8D"/>
    <w:rsid w:val="00830E9B"/>
    <w:rsid w:val="00831CCB"/>
    <w:rsid w:val="00831CEE"/>
    <w:rsid w:val="00833E17"/>
    <w:rsid w:val="0083401E"/>
    <w:rsid w:val="008340D0"/>
    <w:rsid w:val="00834BFD"/>
    <w:rsid w:val="00835480"/>
    <w:rsid w:val="008360F4"/>
    <w:rsid w:val="00836641"/>
    <w:rsid w:val="008376D2"/>
    <w:rsid w:val="008404A1"/>
    <w:rsid w:val="00840710"/>
    <w:rsid w:val="00840E54"/>
    <w:rsid w:val="00841080"/>
    <w:rsid w:val="008411C8"/>
    <w:rsid w:val="00841617"/>
    <w:rsid w:val="008430E5"/>
    <w:rsid w:val="0084323F"/>
    <w:rsid w:val="0084424B"/>
    <w:rsid w:val="008448A0"/>
    <w:rsid w:val="00844F16"/>
    <w:rsid w:val="0084657A"/>
    <w:rsid w:val="0084772A"/>
    <w:rsid w:val="0084787C"/>
    <w:rsid w:val="00847B38"/>
    <w:rsid w:val="008501A1"/>
    <w:rsid w:val="00850B4E"/>
    <w:rsid w:val="00850BEE"/>
    <w:rsid w:val="00851297"/>
    <w:rsid w:val="00851B77"/>
    <w:rsid w:val="00851D4D"/>
    <w:rsid w:val="00851F0F"/>
    <w:rsid w:val="00852350"/>
    <w:rsid w:val="00852C2A"/>
    <w:rsid w:val="00853537"/>
    <w:rsid w:val="0085401D"/>
    <w:rsid w:val="008542F9"/>
    <w:rsid w:val="00855260"/>
    <w:rsid w:val="008564F9"/>
    <w:rsid w:val="0085776E"/>
    <w:rsid w:val="00860808"/>
    <w:rsid w:val="00861BC2"/>
    <w:rsid w:val="00861E9D"/>
    <w:rsid w:val="00862ED7"/>
    <w:rsid w:val="00862F27"/>
    <w:rsid w:val="0086386A"/>
    <w:rsid w:val="00863DA0"/>
    <w:rsid w:val="00863F6C"/>
    <w:rsid w:val="00863FAC"/>
    <w:rsid w:val="0086469D"/>
    <w:rsid w:val="008660FB"/>
    <w:rsid w:val="00866267"/>
    <w:rsid w:val="00866FD1"/>
    <w:rsid w:val="00867EE3"/>
    <w:rsid w:val="00867EEE"/>
    <w:rsid w:val="008724E5"/>
    <w:rsid w:val="00872912"/>
    <w:rsid w:val="00872E75"/>
    <w:rsid w:val="008738D7"/>
    <w:rsid w:val="00873E0F"/>
    <w:rsid w:val="00874C17"/>
    <w:rsid w:val="00874CDB"/>
    <w:rsid w:val="00875A6C"/>
    <w:rsid w:val="00875AA0"/>
    <w:rsid w:val="0087681E"/>
    <w:rsid w:val="00877829"/>
    <w:rsid w:val="008819F9"/>
    <w:rsid w:val="0088292B"/>
    <w:rsid w:val="00883C34"/>
    <w:rsid w:val="00884B5E"/>
    <w:rsid w:val="00885A0B"/>
    <w:rsid w:val="00885C0C"/>
    <w:rsid w:val="00885D62"/>
    <w:rsid w:val="00885F57"/>
    <w:rsid w:val="0088783C"/>
    <w:rsid w:val="00887C45"/>
    <w:rsid w:val="00890ADD"/>
    <w:rsid w:val="00890E64"/>
    <w:rsid w:val="00891A2F"/>
    <w:rsid w:val="00891A64"/>
    <w:rsid w:val="00891E07"/>
    <w:rsid w:val="008922D5"/>
    <w:rsid w:val="0089254C"/>
    <w:rsid w:val="00893322"/>
    <w:rsid w:val="008933EA"/>
    <w:rsid w:val="00894057"/>
    <w:rsid w:val="0089421D"/>
    <w:rsid w:val="00894764"/>
    <w:rsid w:val="00894832"/>
    <w:rsid w:val="00894961"/>
    <w:rsid w:val="00895A2C"/>
    <w:rsid w:val="00896488"/>
    <w:rsid w:val="008966D7"/>
    <w:rsid w:val="00896ABA"/>
    <w:rsid w:val="00896C38"/>
    <w:rsid w:val="008A0B6C"/>
    <w:rsid w:val="008A101D"/>
    <w:rsid w:val="008A107B"/>
    <w:rsid w:val="008A293D"/>
    <w:rsid w:val="008A2C7D"/>
    <w:rsid w:val="008A33A1"/>
    <w:rsid w:val="008A34E0"/>
    <w:rsid w:val="008A42F4"/>
    <w:rsid w:val="008A5086"/>
    <w:rsid w:val="008A679A"/>
    <w:rsid w:val="008A6832"/>
    <w:rsid w:val="008B062F"/>
    <w:rsid w:val="008B078F"/>
    <w:rsid w:val="008B1959"/>
    <w:rsid w:val="008B1E22"/>
    <w:rsid w:val="008B26E9"/>
    <w:rsid w:val="008B28AA"/>
    <w:rsid w:val="008B2E71"/>
    <w:rsid w:val="008B3669"/>
    <w:rsid w:val="008B41EC"/>
    <w:rsid w:val="008B4E85"/>
    <w:rsid w:val="008B4F65"/>
    <w:rsid w:val="008B5480"/>
    <w:rsid w:val="008B5946"/>
    <w:rsid w:val="008B5AC9"/>
    <w:rsid w:val="008B5E52"/>
    <w:rsid w:val="008B745C"/>
    <w:rsid w:val="008C1237"/>
    <w:rsid w:val="008C1B67"/>
    <w:rsid w:val="008C33E3"/>
    <w:rsid w:val="008C3F33"/>
    <w:rsid w:val="008C47D8"/>
    <w:rsid w:val="008C4BC1"/>
    <w:rsid w:val="008C5BB7"/>
    <w:rsid w:val="008C6C4D"/>
    <w:rsid w:val="008C74A6"/>
    <w:rsid w:val="008C7798"/>
    <w:rsid w:val="008C7BC3"/>
    <w:rsid w:val="008C7EBF"/>
    <w:rsid w:val="008D033E"/>
    <w:rsid w:val="008D0713"/>
    <w:rsid w:val="008D0F05"/>
    <w:rsid w:val="008D18AF"/>
    <w:rsid w:val="008D1FC3"/>
    <w:rsid w:val="008D3FF8"/>
    <w:rsid w:val="008D4F6E"/>
    <w:rsid w:val="008D561B"/>
    <w:rsid w:val="008D5C02"/>
    <w:rsid w:val="008D64C3"/>
    <w:rsid w:val="008D684C"/>
    <w:rsid w:val="008E39CF"/>
    <w:rsid w:val="008E42D1"/>
    <w:rsid w:val="008E4395"/>
    <w:rsid w:val="008E48CA"/>
    <w:rsid w:val="008E4C0D"/>
    <w:rsid w:val="008E4EA2"/>
    <w:rsid w:val="008E5660"/>
    <w:rsid w:val="008E5F2D"/>
    <w:rsid w:val="008E5FBF"/>
    <w:rsid w:val="008E7FD1"/>
    <w:rsid w:val="008F01D6"/>
    <w:rsid w:val="008F05CC"/>
    <w:rsid w:val="008F05EF"/>
    <w:rsid w:val="008F1001"/>
    <w:rsid w:val="008F114A"/>
    <w:rsid w:val="008F20A1"/>
    <w:rsid w:val="008F242E"/>
    <w:rsid w:val="008F38FF"/>
    <w:rsid w:val="008F46FD"/>
    <w:rsid w:val="008F56F0"/>
    <w:rsid w:val="008F592E"/>
    <w:rsid w:val="008F6AF3"/>
    <w:rsid w:val="008F74A9"/>
    <w:rsid w:val="008F7805"/>
    <w:rsid w:val="008F79A2"/>
    <w:rsid w:val="009005EC"/>
    <w:rsid w:val="00900FE4"/>
    <w:rsid w:val="00901999"/>
    <w:rsid w:val="00901CA2"/>
    <w:rsid w:val="00902E9D"/>
    <w:rsid w:val="0090324B"/>
    <w:rsid w:val="00904555"/>
    <w:rsid w:val="009067AA"/>
    <w:rsid w:val="00907020"/>
    <w:rsid w:val="0090729D"/>
    <w:rsid w:val="00907EB1"/>
    <w:rsid w:val="0091105D"/>
    <w:rsid w:val="00911492"/>
    <w:rsid w:val="0091216C"/>
    <w:rsid w:val="009125AB"/>
    <w:rsid w:val="0091282A"/>
    <w:rsid w:val="009137B7"/>
    <w:rsid w:val="00913A9B"/>
    <w:rsid w:val="00914559"/>
    <w:rsid w:val="009158B4"/>
    <w:rsid w:val="009165A4"/>
    <w:rsid w:val="00916DBE"/>
    <w:rsid w:val="00917E84"/>
    <w:rsid w:val="00920064"/>
    <w:rsid w:val="009206D1"/>
    <w:rsid w:val="009209AE"/>
    <w:rsid w:val="00920C46"/>
    <w:rsid w:val="009218B9"/>
    <w:rsid w:val="0092295E"/>
    <w:rsid w:val="00922998"/>
    <w:rsid w:val="00924C81"/>
    <w:rsid w:val="009252B6"/>
    <w:rsid w:val="00925937"/>
    <w:rsid w:val="00925B9D"/>
    <w:rsid w:val="00926987"/>
    <w:rsid w:val="0092757A"/>
    <w:rsid w:val="00927D7E"/>
    <w:rsid w:val="009308F9"/>
    <w:rsid w:val="00930E64"/>
    <w:rsid w:val="009336B4"/>
    <w:rsid w:val="00933873"/>
    <w:rsid w:val="00933EA2"/>
    <w:rsid w:val="00934AB9"/>
    <w:rsid w:val="00934DFA"/>
    <w:rsid w:val="009354DE"/>
    <w:rsid w:val="00935967"/>
    <w:rsid w:val="00936107"/>
    <w:rsid w:val="009362DE"/>
    <w:rsid w:val="009362FE"/>
    <w:rsid w:val="00936948"/>
    <w:rsid w:val="00936CCD"/>
    <w:rsid w:val="00937A9B"/>
    <w:rsid w:val="009412A8"/>
    <w:rsid w:val="00941479"/>
    <w:rsid w:val="00941856"/>
    <w:rsid w:val="00941952"/>
    <w:rsid w:val="00941E94"/>
    <w:rsid w:val="0094250C"/>
    <w:rsid w:val="00942D29"/>
    <w:rsid w:val="00943283"/>
    <w:rsid w:val="009436EA"/>
    <w:rsid w:val="00945E9A"/>
    <w:rsid w:val="009468AC"/>
    <w:rsid w:val="00946AEA"/>
    <w:rsid w:val="00946D9E"/>
    <w:rsid w:val="00951BB0"/>
    <w:rsid w:val="009520EF"/>
    <w:rsid w:val="009530A3"/>
    <w:rsid w:val="009531FE"/>
    <w:rsid w:val="00953396"/>
    <w:rsid w:val="00955021"/>
    <w:rsid w:val="00955A6A"/>
    <w:rsid w:val="00955CC6"/>
    <w:rsid w:val="00956D7A"/>
    <w:rsid w:val="00956FBB"/>
    <w:rsid w:val="0096013B"/>
    <w:rsid w:val="00960A50"/>
    <w:rsid w:val="00960D07"/>
    <w:rsid w:val="00960E23"/>
    <w:rsid w:val="0096187A"/>
    <w:rsid w:val="00961CDD"/>
    <w:rsid w:val="00961D20"/>
    <w:rsid w:val="00962D35"/>
    <w:rsid w:val="00962F14"/>
    <w:rsid w:val="009634B4"/>
    <w:rsid w:val="00963F97"/>
    <w:rsid w:val="0096430B"/>
    <w:rsid w:val="00966228"/>
    <w:rsid w:val="00966829"/>
    <w:rsid w:val="00966B7B"/>
    <w:rsid w:val="00970765"/>
    <w:rsid w:val="00970EF9"/>
    <w:rsid w:val="0097191D"/>
    <w:rsid w:val="00972279"/>
    <w:rsid w:val="00973DDE"/>
    <w:rsid w:val="00974014"/>
    <w:rsid w:val="00974A3F"/>
    <w:rsid w:val="00975772"/>
    <w:rsid w:val="00976A8B"/>
    <w:rsid w:val="00976D44"/>
    <w:rsid w:val="009777A9"/>
    <w:rsid w:val="0098165D"/>
    <w:rsid w:val="00981BFB"/>
    <w:rsid w:val="00982C39"/>
    <w:rsid w:val="00982DB1"/>
    <w:rsid w:val="009833F6"/>
    <w:rsid w:val="009847D3"/>
    <w:rsid w:val="00984859"/>
    <w:rsid w:val="00985FED"/>
    <w:rsid w:val="00986BA3"/>
    <w:rsid w:val="00987960"/>
    <w:rsid w:val="0099010C"/>
    <w:rsid w:val="009901C2"/>
    <w:rsid w:val="00990E9C"/>
    <w:rsid w:val="00991048"/>
    <w:rsid w:val="0099170B"/>
    <w:rsid w:val="009920A8"/>
    <w:rsid w:val="00992B2F"/>
    <w:rsid w:val="00992BFC"/>
    <w:rsid w:val="00994630"/>
    <w:rsid w:val="009949A3"/>
    <w:rsid w:val="0099549C"/>
    <w:rsid w:val="009963D3"/>
    <w:rsid w:val="00996F01"/>
    <w:rsid w:val="009A0F7F"/>
    <w:rsid w:val="009A1BB2"/>
    <w:rsid w:val="009A3BB8"/>
    <w:rsid w:val="009A4E1D"/>
    <w:rsid w:val="009A5383"/>
    <w:rsid w:val="009A5C67"/>
    <w:rsid w:val="009A60DA"/>
    <w:rsid w:val="009A6E03"/>
    <w:rsid w:val="009A6E1A"/>
    <w:rsid w:val="009A7364"/>
    <w:rsid w:val="009A7CB4"/>
    <w:rsid w:val="009A7D10"/>
    <w:rsid w:val="009B0671"/>
    <w:rsid w:val="009B0C2A"/>
    <w:rsid w:val="009B0DE2"/>
    <w:rsid w:val="009B0E18"/>
    <w:rsid w:val="009B1342"/>
    <w:rsid w:val="009B1557"/>
    <w:rsid w:val="009B15A6"/>
    <w:rsid w:val="009B16B8"/>
    <w:rsid w:val="009B23D4"/>
    <w:rsid w:val="009B2DA1"/>
    <w:rsid w:val="009B3FAD"/>
    <w:rsid w:val="009B50E0"/>
    <w:rsid w:val="009C13B7"/>
    <w:rsid w:val="009C1EA2"/>
    <w:rsid w:val="009C2D10"/>
    <w:rsid w:val="009C3376"/>
    <w:rsid w:val="009C48A8"/>
    <w:rsid w:val="009C6745"/>
    <w:rsid w:val="009C67EF"/>
    <w:rsid w:val="009C6B47"/>
    <w:rsid w:val="009C6CD3"/>
    <w:rsid w:val="009C7CA7"/>
    <w:rsid w:val="009D0695"/>
    <w:rsid w:val="009D07D4"/>
    <w:rsid w:val="009D0AD3"/>
    <w:rsid w:val="009D18A2"/>
    <w:rsid w:val="009D219D"/>
    <w:rsid w:val="009D2AC7"/>
    <w:rsid w:val="009D5672"/>
    <w:rsid w:val="009D5C0A"/>
    <w:rsid w:val="009D5F0A"/>
    <w:rsid w:val="009D605D"/>
    <w:rsid w:val="009D63DC"/>
    <w:rsid w:val="009D6483"/>
    <w:rsid w:val="009D6F01"/>
    <w:rsid w:val="009D7310"/>
    <w:rsid w:val="009D7CF7"/>
    <w:rsid w:val="009E0164"/>
    <w:rsid w:val="009E08F4"/>
    <w:rsid w:val="009E0CF3"/>
    <w:rsid w:val="009E1642"/>
    <w:rsid w:val="009E1662"/>
    <w:rsid w:val="009E16CE"/>
    <w:rsid w:val="009E1A05"/>
    <w:rsid w:val="009E1E08"/>
    <w:rsid w:val="009E213E"/>
    <w:rsid w:val="009E56DF"/>
    <w:rsid w:val="009E5B0E"/>
    <w:rsid w:val="009E5B11"/>
    <w:rsid w:val="009E7224"/>
    <w:rsid w:val="009E7A55"/>
    <w:rsid w:val="009F01C2"/>
    <w:rsid w:val="009F0FF9"/>
    <w:rsid w:val="009F149A"/>
    <w:rsid w:val="009F1558"/>
    <w:rsid w:val="009F16EA"/>
    <w:rsid w:val="009F1749"/>
    <w:rsid w:val="009F17A9"/>
    <w:rsid w:val="009F1821"/>
    <w:rsid w:val="009F1C03"/>
    <w:rsid w:val="009F365A"/>
    <w:rsid w:val="009F48ED"/>
    <w:rsid w:val="009F5C89"/>
    <w:rsid w:val="00A00C5F"/>
    <w:rsid w:val="00A01ECB"/>
    <w:rsid w:val="00A023CA"/>
    <w:rsid w:val="00A0274B"/>
    <w:rsid w:val="00A027B1"/>
    <w:rsid w:val="00A0284D"/>
    <w:rsid w:val="00A028FF"/>
    <w:rsid w:val="00A03200"/>
    <w:rsid w:val="00A03AEC"/>
    <w:rsid w:val="00A044CE"/>
    <w:rsid w:val="00A04B4E"/>
    <w:rsid w:val="00A05049"/>
    <w:rsid w:val="00A05AF6"/>
    <w:rsid w:val="00A07503"/>
    <w:rsid w:val="00A10F87"/>
    <w:rsid w:val="00A11353"/>
    <w:rsid w:val="00A11B6A"/>
    <w:rsid w:val="00A126D1"/>
    <w:rsid w:val="00A12ED9"/>
    <w:rsid w:val="00A13434"/>
    <w:rsid w:val="00A13DBD"/>
    <w:rsid w:val="00A14344"/>
    <w:rsid w:val="00A1463C"/>
    <w:rsid w:val="00A14C88"/>
    <w:rsid w:val="00A16292"/>
    <w:rsid w:val="00A16C92"/>
    <w:rsid w:val="00A17D9F"/>
    <w:rsid w:val="00A237F0"/>
    <w:rsid w:val="00A23A0D"/>
    <w:rsid w:val="00A23A1C"/>
    <w:rsid w:val="00A23BE3"/>
    <w:rsid w:val="00A252AC"/>
    <w:rsid w:val="00A25AC2"/>
    <w:rsid w:val="00A2612A"/>
    <w:rsid w:val="00A2620F"/>
    <w:rsid w:val="00A26A01"/>
    <w:rsid w:val="00A2725C"/>
    <w:rsid w:val="00A307A8"/>
    <w:rsid w:val="00A30D22"/>
    <w:rsid w:val="00A30DA0"/>
    <w:rsid w:val="00A310FC"/>
    <w:rsid w:val="00A311B2"/>
    <w:rsid w:val="00A31443"/>
    <w:rsid w:val="00A31C75"/>
    <w:rsid w:val="00A31DE5"/>
    <w:rsid w:val="00A32163"/>
    <w:rsid w:val="00A33812"/>
    <w:rsid w:val="00A340D6"/>
    <w:rsid w:val="00A346DA"/>
    <w:rsid w:val="00A34B39"/>
    <w:rsid w:val="00A34CEF"/>
    <w:rsid w:val="00A36B85"/>
    <w:rsid w:val="00A37006"/>
    <w:rsid w:val="00A37A3E"/>
    <w:rsid w:val="00A4014F"/>
    <w:rsid w:val="00A4193A"/>
    <w:rsid w:val="00A42BA5"/>
    <w:rsid w:val="00A42E43"/>
    <w:rsid w:val="00A43272"/>
    <w:rsid w:val="00A436EE"/>
    <w:rsid w:val="00A438C8"/>
    <w:rsid w:val="00A43D41"/>
    <w:rsid w:val="00A441D2"/>
    <w:rsid w:val="00A44273"/>
    <w:rsid w:val="00A44368"/>
    <w:rsid w:val="00A45BB8"/>
    <w:rsid w:val="00A45D15"/>
    <w:rsid w:val="00A46BB3"/>
    <w:rsid w:val="00A47996"/>
    <w:rsid w:val="00A47C6E"/>
    <w:rsid w:val="00A47D58"/>
    <w:rsid w:val="00A505D1"/>
    <w:rsid w:val="00A5077A"/>
    <w:rsid w:val="00A52A95"/>
    <w:rsid w:val="00A52E31"/>
    <w:rsid w:val="00A53FA6"/>
    <w:rsid w:val="00A5414E"/>
    <w:rsid w:val="00A5415F"/>
    <w:rsid w:val="00A54F57"/>
    <w:rsid w:val="00A55B42"/>
    <w:rsid w:val="00A563EA"/>
    <w:rsid w:val="00A56CE5"/>
    <w:rsid w:val="00A57959"/>
    <w:rsid w:val="00A61869"/>
    <w:rsid w:val="00A619F1"/>
    <w:rsid w:val="00A61AFE"/>
    <w:rsid w:val="00A622C5"/>
    <w:rsid w:val="00A62CE7"/>
    <w:rsid w:val="00A62CFE"/>
    <w:rsid w:val="00A635A5"/>
    <w:rsid w:val="00A639CD"/>
    <w:rsid w:val="00A63B50"/>
    <w:rsid w:val="00A64812"/>
    <w:rsid w:val="00A650CE"/>
    <w:rsid w:val="00A664FA"/>
    <w:rsid w:val="00A70018"/>
    <w:rsid w:val="00A70CED"/>
    <w:rsid w:val="00A70FD8"/>
    <w:rsid w:val="00A7115B"/>
    <w:rsid w:val="00A71257"/>
    <w:rsid w:val="00A71774"/>
    <w:rsid w:val="00A71BB6"/>
    <w:rsid w:val="00A72505"/>
    <w:rsid w:val="00A7250A"/>
    <w:rsid w:val="00A72E89"/>
    <w:rsid w:val="00A73076"/>
    <w:rsid w:val="00A73E7B"/>
    <w:rsid w:val="00A7412B"/>
    <w:rsid w:val="00A74F56"/>
    <w:rsid w:val="00A75464"/>
    <w:rsid w:val="00A75C2B"/>
    <w:rsid w:val="00A75F4F"/>
    <w:rsid w:val="00A768AC"/>
    <w:rsid w:val="00A76D69"/>
    <w:rsid w:val="00A77AD4"/>
    <w:rsid w:val="00A77FED"/>
    <w:rsid w:val="00A805CD"/>
    <w:rsid w:val="00A8106B"/>
    <w:rsid w:val="00A82DFC"/>
    <w:rsid w:val="00A83CD6"/>
    <w:rsid w:val="00A84720"/>
    <w:rsid w:val="00A84F22"/>
    <w:rsid w:val="00A85652"/>
    <w:rsid w:val="00A8715D"/>
    <w:rsid w:val="00A8776B"/>
    <w:rsid w:val="00A90420"/>
    <w:rsid w:val="00A91B4D"/>
    <w:rsid w:val="00A91FB4"/>
    <w:rsid w:val="00A920F6"/>
    <w:rsid w:val="00A9300B"/>
    <w:rsid w:val="00A932DF"/>
    <w:rsid w:val="00A9545F"/>
    <w:rsid w:val="00A95772"/>
    <w:rsid w:val="00A959B5"/>
    <w:rsid w:val="00A95C74"/>
    <w:rsid w:val="00A95FD4"/>
    <w:rsid w:val="00A9691B"/>
    <w:rsid w:val="00A97B0C"/>
    <w:rsid w:val="00AA040A"/>
    <w:rsid w:val="00AA1418"/>
    <w:rsid w:val="00AA16AB"/>
    <w:rsid w:val="00AA1ECD"/>
    <w:rsid w:val="00AA3016"/>
    <w:rsid w:val="00AA3A28"/>
    <w:rsid w:val="00AA5A9D"/>
    <w:rsid w:val="00AB00F6"/>
    <w:rsid w:val="00AB092F"/>
    <w:rsid w:val="00AB097F"/>
    <w:rsid w:val="00AB1C0D"/>
    <w:rsid w:val="00AB23FA"/>
    <w:rsid w:val="00AB3BA1"/>
    <w:rsid w:val="00AB3C75"/>
    <w:rsid w:val="00AB3D6D"/>
    <w:rsid w:val="00AB4C0E"/>
    <w:rsid w:val="00AB510E"/>
    <w:rsid w:val="00AB6767"/>
    <w:rsid w:val="00AB6DB9"/>
    <w:rsid w:val="00AB71B7"/>
    <w:rsid w:val="00AB7A51"/>
    <w:rsid w:val="00AB7E5E"/>
    <w:rsid w:val="00AC0607"/>
    <w:rsid w:val="00AC3FF7"/>
    <w:rsid w:val="00AC49D5"/>
    <w:rsid w:val="00AC4EF7"/>
    <w:rsid w:val="00AC5A6E"/>
    <w:rsid w:val="00AC5E74"/>
    <w:rsid w:val="00AC610E"/>
    <w:rsid w:val="00AD00D0"/>
    <w:rsid w:val="00AD1763"/>
    <w:rsid w:val="00AD1954"/>
    <w:rsid w:val="00AD3184"/>
    <w:rsid w:val="00AD3A96"/>
    <w:rsid w:val="00AD5399"/>
    <w:rsid w:val="00AD5F9D"/>
    <w:rsid w:val="00AD65A0"/>
    <w:rsid w:val="00AD65FC"/>
    <w:rsid w:val="00AD7390"/>
    <w:rsid w:val="00AD76E9"/>
    <w:rsid w:val="00AD7C9E"/>
    <w:rsid w:val="00AE017A"/>
    <w:rsid w:val="00AE1437"/>
    <w:rsid w:val="00AE1B28"/>
    <w:rsid w:val="00AE1D77"/>
    <w:rsid w:val="00AE28C0"/>
    <w:rsid w:val="00AE2F6E"/>
    <w:rsid w:val="00AE2F83"/>
    <w:rsid w:val="00AE3192"/>
    <w:rsid w:val="00AE4BCB"/>
    <w:rsid w:val="00AE5585"/>
    <w:rsid w:val="00AE69D2"/>
    <w:rsid w:val="00AE6EA6"/>
    <w:rsid w:val="00AE6FEE"/>
    <w:rsid w:val="00AE76AA"/>
    <w:rsid w:val="00AF094B"/>
    <w:rsid w:val="00AF0BCA"/>
    <w:rsid w:val="00AF1098"/>
    <w:rsid w:val="00AF1C84"/>
    <w:rsid w:val="00AF2BDD"/>
    <w:rsid w:val="00AF2F0B"/>
    <w:rsid w:val="00AF326B"/>
    <w:rsid w:val="00AF409F"/>
    <w:rsid w:val="00AF4862"/>
    <w:rsid w:val="00AF4A47"/>
    <w:rsid w:val="00AF4B82"/>
    <w:rsid w:val="00AF659C"/>
    <w:rsid w:val="00AF7165"/>
    <w:rsid w:val="00AF7A56"/>
    <w:rsid w:val="00AF7C44"/>
    <w:rsid w:val="00B0059F"/>
    <w:rsid w:val="00B00761"/>
    <w:rsid w:val="00B01950"/>
    <w:rsid w:val="00B027DE"/>
    <w:rsid w:val="00B04F89"/>
    <w:rsid w:val="00B0625B"/>
    <w:rsid w:val="00B064EF"/>
    <w:rsid w:val="00B07C45"/>
    <w:rsid w:val="00B111C7"/>
    <w:rsid w:val="00B1236B"/>
    <w:rsid w:val="00B126E6"/>
    <w:rsid w:val="00B12B18"/>
    <w:rsid w:val="00B12C96"/>
    <w:rsid w:val="00B133C5"/>
    <w:rsid w:val="00B1347C"/>
    <w:rsid w:val="00B138F7"/>
    <w:rsid w:val="00B13A70"/>
    <w:rsid w:val="00B13E8C"/>
    <w:rsid w:val="00B13FDC"/>
    <w:rsid w:val="00B176F4"/>
    <w:rsid w:val="00B21E14"/>
    <w:rsid w:val="00B2210E"/>
    <w:rsid w:val="00B221A3"/>
    <w:rsid w:val="00B22C88"/>
    <w:rsid w:val="00B22CFF"/>
    <w:rsid w:val="00B22DEC"/>
    <w:rsid w:val="00B230DC"/>
    <w:rsid w:val="00B23A6E"/>
    <w:rsid w:val="00B24226"/>
    <w:rsid w:val="00B26345"/>
    <w:rsid w:val="00B26516"/>
    <w:rsid w:val="00B26526"/>
    <w:rsid w:val="00B27442"/>
    <w:rsid w:val="00B309DA"/>
    <w:rsid w:val="00B30D1F"/>
    <w:rsid w:val="00B314CE"/>
    <w:rsid w:val="00B3184A"/>
    <w:rsid w:val="00B31FEB"/>
    <w:rsid w:val="00B32820"/>
    <w:rsid w:val="00B330BF"/>
    <w:rsid w:val="00B35842"/>
    <w:rsid w:val="00B35ABB"/>
    <w:rsid w:val="00B360D7"/>
    <w:rsid w:val="00B3643E"/>
    <w:rsid w:val="00B365FB"/>
    <w:rsid w:val="00B36798"/>
    <w:rsid w:val="00B36C5F"/>
    <w:rsid w:val="00B36EC7"/>
    <w:rsid w:val="00B40016"/>
    <w:rsid w:val="00B40836"/>
    <w:rsid w:val="00B40BD2"/>
    <w:rsid w:val="00B42DA6"/>
    <w:rsid w:val="00B4370B"/>
    <w:rsid w:val="00B452BE"/>
    <w:rsid w:val="00B45B93"/>
    <w:rsid w:val="00B4693C"/>
    <w:rsid w:val="00B4789F"/>
    <w:rsid w:val="00B47CAC"/>
    <w:rsid w:val="00B53390"/>
    <w:rsid w:val="00B53ADA"/>
    <w:rsid w:val="00B53C37"/>
    <w:rsid w:val="00B55D83"/>
    <w:rsid w:val="00B615D0"/>
    <w:rsid w:val="00B66890"/>
    <w:rsid w:val="00B70EE3"/>
    <w:rsid w:val="00B71BB0"/>
    <w:rsid w:val="00B72A21"/>
    <w:rsid w:val="00B75180"/>
    <w:rsid w:val="00B759DD"/>
    <w:rsid w:val="00B76BAF"/>
    <w:rsid w:val="00B772AF"/>
    <w:rsid w:val="00B772EF"/>
    <w:rsid w:val="00B773D4"/>
    <w:rsid w:val="00B776CE"/>
    <w:rsid w:val="00B77885"/>
    <w:rsid w:val="00B80150"/>
    <w:rsid w:val="00B814D7"/>
    <w:rsid w:val="00B830FD"/>
    <w:rsid w:val="00B839D4"/>
    <w:rsid w:val="00B8408C"/>
    <w:rsid w:val="00B84A25"/>
    <w:rsid w:val="00B84B9C"/>
    <w:rsid w:val="00B85098"/>
    <w:rsid w:val="00B856A7"/>
    <w:rsid w:val="00B860B6"/>
    <w:rsid w:val="00B861E4"/>
    <w:rsid w:val="00B86A31"/>
    <w:rsid w:val="00B8748C"/>
    <w:rsid w:val="00B87AEF"/>
    <w:rsid w:val="00B90AD9"/>
    <w:rsid w:val="00B91FFE"/>
    <w:rsid w:val="00B92450"/>
    <w:rsid w:val="00B92562"/>
    <w:rsid w:val="00B93D45"/>
    <w:rsid w:val="00B943E3"/>
    <w:rsid w:val="00B9455B"/>
    <w:rsid w:val="00B9478F"/>
    <w:rsid w:val="00B95325"/>
    <w:rsid w:val="00B95B8B"/>
    <w:rsid w:val="00B95E16"/>
    <w:rsid w:val="00B95FAE"/>
    <w:rsid w:val="00B961A6"/>
    <w:rsid w:val="00B961EB"/>
    <w:rsid w:val="00B96239"/>
    <w:rsid w:val="00B96B72"/>
    <w:rsid w:val="00BA0575"/>
    <w:rsid w:val="00BA0C28"/>
    <w:rsid w:val="00BA0C7D"/>
    <w:rsid w:val="00BA17D2"/>
    <w:rsid w:val="00BA19AD"/>
    <w:rsid w:val="00BA2734"/>
    <w:rsid w:val="00BA2987"/>
    <w:rsid w:val="00BA2CE9"/>
    <w:rsid w:val="00BA300C"/>
    <w:rsid w:val="00BA358A"/>
    <w:rsid w:val="00BA3D77"/>
    <w:rsid w:val="00BA5376"/>
    <w:rsid w:val="00BA63BB"/>
    <w:rsid w:val="00BA64B4"/>
    <w:rsid w:val="00BA6B7E"/>
    <w:rsid w:val="00BA7EEE"/>
    <w:rsid w:val="00BB1D61"/>
    <w:rsid w:val="00BB1F08"/>
    <w:rsid w:val="00BB2B60"/>
    <w:rsid w:val="00BB4C45"/>
    <w:rsid w:val="00BB5489"/>
    <w:rsid w:val="00BB5873"/>
    <w:rsid w:val="00BB652D"/>
    <w:rsid w:val="00BB73A8"/>
    <w:rsid w:val="00BB7AD3"/>
    <w:rsid w:val="00BC05C3"/>
    <w:rsid w:val="00BC1670"/>
    <w:rsid w:val="00BC16EC"/>
    <w:rsid w:val="00BC1A4A"/>
    <w:rsid w:val="00BC1D3F"/>
    <w:rsid w:val="00BC2B7B"/>
    <w:rsid w:val="00BC2C16"/>
    <w:rsid w:val="00BC301E"/>
    <w:rsid w:val="00BC3129"/>
    <w:rsid w:val="00BC4E7E"/>
    <w:rsid w:val="00BC5AB9"/>
    <w:rsid w:val="00BC5DBE"/>
    <w:rsid w:val="00BC61A2"/>
    <w:rsid w:val="00BC7251"/>
    <w:rsid w:val="00BC753F"/>
    <w:rsid w:val="00BD0987"/>
    <w:rsid w:val="00BD10C6"/>
    <w:rsid w:val="00BD13F2"/>
    <w:rsid w:val="00BD17B8"/>
    <w:rsid w:val="00BD265D"/>
    <w:rsid w:val="00BD2C09"/>
    <w:rsid w:val="00BD31E3"/>
    <w:rsid w:val="00BD6791"/>
    <w:rsid w:val="00BD7CE5"/>
    <w:rsid w:val="00BE041D"/>
    <w:rsid w:val="00BE044B"/>
    <w:rsid w:val="00BE04B9"/>
    <w:rsid w:val="00BE07F5"/>
    <w:rsid w:val="00BE1190"/>
    <w:rsid w:val="00BE1E78"/>
    <w:rsid w:val="00BE2E52"/>
    <w:rsid w:val="00BE2F28"/>
    <w:rsid w:val="00BE30F6"/>
    <w:rsid w:val="00BE52F8"/>
    <w:rsid w:val="00BE5F0B"/>
    <w:rsid w:val="00BE6181"/>
    <w:rsid w:val="00BE642D"/>
    <w:rsid w:val="00BE6B09"/>
    <w:rsid w:val="00BE77F8"/>
    <w:rsid w:val="00BE7914"/>
    <w:rsid w:val="00BF01DD"/>
    <w:rsid w:val="00BF093B"/>
    <w:rsid w:val="00BF0F65"/>
    <w:rsid w:val="00BF1339"/>
    <w:rsid w:val="00BF150C"/>
    <w:rsid w:val="00BF15D7"/>
    <w:rsid w:val="00BF1FCA"/>
    <w:rsid w:val="00BF253E"/>
    <w:rsid w:val="00BF2878"/>
    <w:rsid w:val="00BF41DA"/>
    <w:rsid w:val="00BF465E"/>
    <w:rsid w:val="00BF58FA"/>
    <w:rsid w:val="00BF5A29"/>
    <w:rsid w:val="00BF5AE7"/>
    <w:rsid w:val="00BF5E57"/>
    <w:rsid w:val="00BF6A81"/>
    <w:rsid w:val="00BF735D"/>
    <w:rsid w:val="00C00207"/>
    <w:rsid w:val="00C00DDA"/>
    <w:rsid w:val="00C01216"/>
    <w:rsid w:val="00C019EF"/>
    <w:rsid w:val="00C0219A"/>
    <w:rsid w:val="00C021E3"/>
    <w:rsid w:val="00C02A48"/>
    <w:rsid w:val="00C03256"/>
    <w:rsid w:val="00C038A2"/>
    <w:rsid w:val="00C038BD"/>
    <w:rsid w:val="00C03969"/>
    <w:rsid w:val="00C04683"/>
    <w:rsid w:val="00C04869"/>
    <w:rsid w:val="00C04BA9"/>
    <w:rsid w:val="00C0552F"/>
    <w:rsid w:val="00C05B7A"/>
    <w:rsid w:val="00C05DD0"/>
    <w:rsid w:val="00C06326"/>
    <w:rsid w:val="00C071D5"/>
    <w:rsid w:val="00C07654"/>
    <w:rsid w:val="00C10CD2"/>
    <w:rsid w:val="00C112FB"/>
    <w:rsid w:val="00C115CA"/>
    <w:rsid w:val="00C1217D"/>
    <w:rsid w:val="00C12A90"/>
    <w:rsid w:val="00C12B95"/>
    <w:rsid w:val="00C12DA3"/>
    <w:rsid w:val="00C12EF7"/>
    <w:rsid w:val="00C13041"/>
    <w:rsid w:val="00C14FE0"/>
    <w:rsid w:val="00C157D3"/>
    <w:rsid w:val="00C21094"/>
    <w:rsid w:val="00C224C2"/>
    <w:rsid w:val="00C233E0"/>
    <w:rsid w:val="00C23C19"/>
    <w:rsid w:val="00C240E8"/>
    <w:rsid w:val="00C24211"/>
    <w:rsid w:val="00C250AF"/>
    <w:rsid w:val="00C25403"/>
    <w:rsid w:val="00C2679D"/>
    <w:rsid w:val="00C267E1"/>
    <w:rsid w:val="00C26BAC"/>
    <w:rsid w:val="00C27D88"/>
    <w:rsid w:val="00C30102"/>
    <w:rsid w:val="00C31722"/>
    <w:rsid w:val="00C3185A"/>
    <w:rsid w:val="00C332BA"/>
    <w:rsid w:val="00C33363"/>
    <w:rsid w:val="00C34870"/>
    <w:rsid w:val="00C34C79"/>
    <w:rsid w:val="00C3528E"/>
    <w:rsid w:val="00C3573A"/>
    <w:rsid w:val="00C35AD2"/>
    <w:rsid w:val="00C3617C"/>
    <w:rsid w:val="00C37318"/>
    <w:rsid w:val="00C37690"/>
    <w:rsid w:val="00C37B7F"/>
    <w:rsid w:val="00C401EA"/>
    <w:rsid w:val="00C4054B"/>
    <w:rsid w:val="00C40810"/>
    <w:rsid w:val="00C40CF6"/>
    <w:rsid w:val="00C40E02"/>
    <w:rsid w:val="00C41407"/>
    <w:rsid w:val="00C4217A"/>
    <w:rsid w:val="00C42366"/>
    <w:rsid w:val="00C42A82"/>
    <w:rsid w:val="00C42C18"/>
    <w:rsid w:val="00C439A4"/>
    <w:rsid w:val="00C470A3"/>
    <w:rsid w:val="00C47872"/>
    <w:rsid w:val="00C50410"/>
    <w:rsid w:val="00C51574"/>
    <w:rsid w:val="00C51BE7"/>
    <w:rsid w:val="00C521F8"/>
    <w:rsid w:val="00C52D02"/>
    <w:rsid w:val="00C5306F"/>
    <w:rsid w:val="00C53273"/>
    <w:rsid w:val="00C53FA9"/>
    <w:rsid w:val="00C53FEE"/>
    <w:rsid w:val="00C54571"/>
    <w:rsid w:val="00C55224"/>
    <w:rsid w:val="00C556E5"/>
    <w:rsid w:val="00C56E32"/>
    <w:rsid w:val="00C61263"/>
    <w:rsid w:val="00C61B31"/>
    <w:rsid w:val="00C61F0E"/>
    <w:rsid w:val="00C6257C"/>
    <w:rsid w:val="00C62767"/>
    <w:rsid w:val="00C62F93"/>
    <w:rsid w:val="00C632ED"/>
    <w:rsid w:val="00C63B62"/>
    <w:rsid w:val="00C63CDE"/>
    <w:rsid w:val="00C641EF"/>
    <w:rsid w:val="00C64B38"/>
    <w:rsid w:val="00C64BEB"/>
    <w:rsid w:val="00C661EA"/>
    <w:rsid w:val="00C663F7"/>
    <w:rsid w:val="00C6698D"/>
    <w:rsid w:val="00C669E3"/>
    <w:rsid w:val="00C70BFC"/>
    <w:rsid w:val="00C70DE1"/>
    <w:rsid w:val="00C72435"/>
    <w:rsid w:val="00C73236"/>
    <w:rsid w:val="00C737B7"/>
    <w:rsid w:val="00C73E30"/>
    <w:rsid w:val="00C74BA2"/>
    <w:rsid w:val="00C754A0"/>
    <w:rsid w:val="00C75BD5"/>
    <w:rsid w:val="00C76516"/>
    <w:rsid w:val="00C768A7"/>
    <w:rsid w:val="00C76A68"/>
    <w:rsid w:val="00C76CBC"/>
    <w:rsid w:val="00C77303"/>
    <w:rsid w:val="00C81DE4"/>
    <w:rsid w:val="00C822B5"/>
    <w:rsid w:val="00C83313"/>
    <w:rsid w:val="00C833F8"/>
    <w:rsid w:val="00C8409F"/>
    <w:rsid w:val="00C854D1"/>
    <w:rsid w:val="00C86791"/>
    <w:rsid w:val="00C86C7F"/>
    <w:rsid w:val="00C86CC3"/>
    <w:rsid w:val="00C86E0A"/>
    <w:rsid w:val="00C8751B"/>
    <w:rsid w:val="00C90B63"/>
    <w:rsid w:val="00C912A2"/>
    <w:rsid w:val="00C9145C"/>
    <w:rsid w:val="00C92941"/>
    <w:rsid w:val="00C9308B"/>
    <w:rsid w:val="00C9335F"/>
    <w:rsid w:val="00C959B4"/>
    <w:rsid w:val="00C96F4A"/>
    <w:rsid w:val="00C97737"/>
    <w:rsid w:val="00C977A9"/>
    <w:rsid w:val="00CA00FA"/>
    <w:rsid w:val="00CA0141"/>
    <w:rsid w:val="00CA04DF"/>
    <w:rsid w:val="00CA1616"/>
    <w:rsid w:val="00CA1DC4"/>
    <w:rsid w:val="00CA35AC"/>
    <w:rsid w:val="00CA4B2E"/>
    <w:rsid w:val="00CA5127"/>
    <w:rsid w:val="00CA5F0B"/>
    <w:rsid w:val="00CA649C"/>
    <w:rsid w:val="00CA6577"/>
    <w:rsid w:val="00CA6923"/>
    <w:rsid w:val="00CA6DB1"/>
    <w:rsid w:val="00CA7774"/>
    <w:rsid w:val="00CB0795"/>
    <w:rsid w:val="00CB0AF0"/>
    <w:rsid w:val="00CB149A"/>
    <w:rsid w:val="00CB1AF0"/>
    <w:rsid w:val="00CB333E"/>
    <w:rsid w:val="00CB3ED3"/>
    <w:rsid w:val="00CB3FC4"/>
    <w:rsid w:val="00CB4B04"/>
    <w:rsid w:val="00CB5E75"/>
    <w:rsid w:val="00CB6901"/>
    <w:rsid w:val="00CB6D34"/>
    <w:rsid w:val="00CB7495"/>
    <w:rsid w:val="00CC0A47"/>
    <w:rsid w:val="00CC3CAA"/>
    <w:rsid w:val="00CC3DD5"/>
    <w:rsid w:val="00CC513C"/>
    <w:rsid w:val="00CC52F4"/>
    <w:rsid w:val="00CC59B1"/>
    <w:rsid w:val="00CC5B72"/>
    <w:rsid w:val="00CC60EE"/>
    <w:rsid w:val="00CC6428"/>
    <w:rsid w:val="00CC6CA7"/>
    <w:rsid w:val="00CC728A"/>
    <w:rsid w:val="00CC7AEA"/>
    <w:rsid w:val="00CD0ADD"/>
    <w:rsid w:val="00CD0E39"/>
    <w:rsid w:val="00CD1E61"/>
    <w:rsid w:val="00CD1EF1"/>
    <w:rsid w:val="00CD23D4"/>
    <w:rsid w:val="00CD24A5"/>
    <w:rsid w:val="00CD2585"/>
    <w:rsid w:val="00CD39DF"/>
    <w:rsid w:val="00CD3E3A"/>
    <w:rsid w:val="00CD5DFA"/>
    <w:rsid w:val="00CD661E"/>
    <w:rsid w:val="00CD74E6"/>
    <w:rsid w:val="00CE1192"/>
    <w:rsid w:val="00CE27C8"/>
    <w:rsid w:val="00CE2B99"/>
    <w:rsid w:val="00CE362E"/>
    <w:rsid w:val="00CE364A"/>
    <w:rsid w:val="00CE393B"/>
    <w:rsid w:val="00CE4C0E"/>
    <w:rsid w:val="00CE5D1A"/>
    <w:rsid w:val="00CE7309"/>
    <w:rsid w:val="00CE7929"/>
    <w:rsid w:val="00CE7BC7"/>
    <w:rsid w:val="00CF020C"/>
    <w:rsid w:val="00CF0499"/>
    <w:rsid w:val="00CF0538"/>
    <w:rsid w:val="00CF1AA3"/>
    <w:rsid w:val="00CF1B92"/>
    <w:rsid w:val="00CF229C"/>
    <w:rsid w:val="00CF36BE"/>
    <w:rsid w:val="00CF4C7B"/>
    <w:rsid w:val="00CF4CB4"/>
    <w:rsid w:val="00CF4EDE"/>
    <w:rsid w:val="00CF5A82"/>
    <w:rsid w:val="00CF6456"/>
    <w:rsid w:val="00CF7926"/>
    <w:rsid w:val="00CF7E7A"/>
    <w:rsid w:val="00D006C5"/>
    <w:rsid w:val="00D0257F"/>
    <w:rsid w:val="00D0278F"/>
    <w:rsid w:val="00D02C4D"/>
    <w:rsid w:val="00D02C7E"/>
    <w:rsid w:val="00D02D5E"/>
    <w:rsid w:val="00D03E29"/>
    <w:rsid w:val="00D04487"/>
    <w:rsid w:val="00D05787"/>
    <w:rsid w:val="00D075B4"/>
    <w:rsid w:val="00D077DC"/>
    <w:rsid w:val="00D10C24"/>
    <w:rsid w:val="00D112F4"/>
    <w:rsid w:val="00D13601"/>
    <w:rsid w:val="00D13F15"/>
    <w:rsid w:val="00D145C6"/>
    <w:rsid w:val="00D14A8A"/>
    <w:rsid w:val="00D14D63"/>
    <w:rsid w:val="00D159D9"/>
    <w:rsid w:val="00D15B95"/>
    <w:rsid w:val="00D1632B"/>
    <w:rsid w:val="00D16D98"/>
    <w:rsid w:val="00D205FF"/>
    <w:rsid w:val="00D20CAD"/>
    <w:rsid w:val="00D21576"/>
    <w:rsid w:val="00D23A09"/>
    <w:rsid w:val="00D24AD0"/>
    <w:rsid w:val="00D2561A"/>
    <w:rsid w:val="00D269D7"/>
    <w:rsid w:val="00D27631"/>
    <w:rsid w:val="00D2797A"/>
    <w:rsid w:val="00D302A5"/>
    <w:rsid w:val="00D30B8E"/>
    <w:rsid w:val="00D30E79"/>
    <w:rsid w:val="00D31A07"/>
    <w:rsid w:val="00D31D14"/>
    <w:rsid w:val="00D3216E"/>
    <w:rsid w:val="00D350A4"/>
    <w:rsid w:val="00D370E0"/>
    <w:rsid w:val="00D378CB"/>
    <w:rsid w:val="00D415AA"/>
    <w:rsid w:val="00D41CEC"/>
    <w:rsid w:val="00D43125"/>
    <w:rsid w:val="00D432A5"/>
    <w:rsid w:val="00D4459A"/>
    <w:rsid w:val="00D44CF1"/>
    <w:rsid w:val="00D45069"/>
    <w:rsid w:val="00D467A6"/>
    <w:rsid w:val="00D46AD4"/>
    <w:rsid w:val="00D4794E"/>
    <w:rsid w:val="00D50B27"/>
    <w:rsid w:val="00D516DF"/>
    <w:rsid w:val="00D526D0"/>
    <w:rsid w:val="00D52B98"/>
    <w:rsid w:val="00D5358B"/>
    <w:rsid w:val="00D550F6"/>
    <w:rsid w:val="00D55BA3"/>
    <w:rsid w:val="00D563A7"/>
    <w:rsid w:val="00D566F6"/>
    <w:rsid w:val="00D56D67"/>
    <w:rsid w:val="00D57378"/>
    <w:rsid w:val="00D57B64"/>
    <w:rsid w:val="00D57DC1"/>
    <w:rsid w:val="00D604B5"/>
    <w:rsid w:val="00D6089A"/>
    <w:rsid w:val="00D61AED"/>
    <w:rsid w:val="00D61D96"/>
    <w:rsid w:val="00D61DEE"/>
    <w:rsid w:val="00D62CB9"/>
    <w:rsid w:val="00D6470D"/>
    <w:rsid w:val="00D64B89"/>
    <w:rsid w:val="00D659F7"/>
    <w:rsid w:val="00D65E5C"/>
    <w:rsid w:val="00D67B83"/>
    <w:rsid w:val="00D67DAD"/>
    <w:rsid w:val="00D70526"/>
    <w:rsid w:val="00D70C4A"/>
    <w:rsid w:val="00D70DF6"/>
    <w:rsid w:val="00D719F3"/>
    <w:rsid w:val="00D71F78"/>
    <w:rsid w:val="00D7272D"/>
    <w:rsid w:val="00D72E27"/>
    <w:rsid w:val="00D73C64"/>
    <w:rsid w:val="00D742E2"/>
    <w:rsid w:val="00D766E5"/>
    <w:rsid w:val="00D76701"/>
    <w:rsid w:val="00D76DEE"/>
    <w:rsid w:val="00D77099"/>
    <w:rsid w:val="00D77641"/>
    <w:rsid w:val="00D77860"/>
    <w:rsid w:val="00D802D2"/>
    <w:rsid w:val="00D80921"/>
    <w:rsid w:val="00D813B7"/>
    <w:rsid w:val="00D8150F"/>
    <w:rsid w:val="00D8191C"/>
    <w:rsid w:val="00D81B2A"/>
    <w:rsid w:val="00D81BCC"/>
    <w:rsid w:val="00D830F1"/>
    <w:rsid w:val="00D83DD8"/>
    <w:rsid w:val="00D83F30"/>
    <w:rsid w:val="00D84287"/>
    <w:rsid w:val="00D84A65"/>
    <w:rsid w:val="00D850AD"/>
    <w:rsid w:val="00D857A9"/>
    <w:rsid w:val="00D85FC6"/>
    <w:rsid w:val="00D86116"/>
    <w:rsid w:val="00D864E0"/>
    <w:rsid w:val="00D8695A"/>
    <w:rsid w:val="00D87EBF"/>
    <w:rsid w:val="00D901C2"/>
    <w:rsid w:val="00D9159D"/>
    <w:rsid w:val="00D91B89"/>
    <w:rsid w:val="00D92D58"/>
    <w:rsid w:val="00D92F0E"/>
    <w:rsid w:val="00D93DFB"/>
    <w:rsid w:val="00D94149"/>
    <w:rsid w:val="00D94E39"/>
    <w:rsid w:val="00D95BF5"/>
    <w:rsid w:val="00D95CE1"/>
    <w:rsid w:val="00D95DA4"/>
    <w:rsid w:val="00D95DB4"/>
    <w:rsid w:val="00D9612F"/>
    <w:rsid w:val="00DA0846"/>
    <w:rsid w:val="00DA171C"/>
    <w:rsid w:val="00DA1ACE"/>
    <w:rsid w:val="00DA1E40"/>
    <w:rsid w:val="00DA38D6"/>
    <w:rsid w:val="00DA3F0A"/>
    <w:rsid w:val="00DA42AC"/>
    <w:rsid w:val="00DA435D"/>
    <w:rsid w:val="00DA5F10"/>
    <w:rsid w:val="00DA6440"/>
    <w:rsid w:val="00DA6F5D"/>
    <w:rsid w:val="00DA7065"/>
    <w:rsid w:val="00DA72B5"/>
    <w:rsid w:val="00DA75BF"/>
    <w:rsid w:val="00DA7C26"/>
    <w:rsid w:val="00DA7E0D"/>
    <w:rsid w:val="00DB037F"/>
    <w:rsid w:val="00DB0BBA"/>
    <w:rsid w:val="00DB2F9E"/>
    <w:rsid w:val="00DB3F0D"/>
    <w:rsid w:val="00DB4DEC"/>
    <w:rsid w:val="00DB6290"/>
    <w:rsid w:val="00DB7AEC"/>
    <w:rsid w:val="00DC059D"/>
    <w:rsid w:val="00DC1FB9"/>
    <w:rsid w:val="00DC2A22"/>
    <w:rsid w:val="00DC359C"/>
    <w:rsid w:val="00DC3A95"/>
    <w:rsid w:val="00DC4B9B"/>
    <w:rsid w:val="00DC5CD1"/>
    <w:rsid w:val="00DC5D5C"/>
    <w:rsid w:val="00DC77C6"/>
    <w:rsid w:val="00DD0281"/>
    <w:rsid w:val="00DD0774"/>
    <w:rsid w:val="00DD2404"/>
    <w:rsid w:val="00DD28A1"/>
    <w:rsid w:val="00DD3A78"/>
    <w:rsid w:val="00DD5005"/>
    <w:rsid w:val="00DD50B9"/>
    <w:rsid w:val="00DD528C"/>
    <w:rsid w:val="00DD615E"/>
    <w:rsid w:val="00DE0250"/>
    <w:rsid w:val="00DE0BDD"/>
    <w:rsid w:val="00DE1051"/>
    <w:rsid w:val="00DE1D9F"/>
    <w:rsid w:val="00DE1FBB"/>
    <w:rsid w:val="00DE299E"/>
    <w:rsid w:val="00DE2C22"/>
    <w:rsid w:val="00DE4FA1"/>
    <w:rsid w:val="00DE54E5"/>
    <w:rsid w:val="00DE70A6"/>
    <w:rsid w:val="00DE72C7"/>
    <w:rsid w:val="00DE741A"/>
    <w:rsid w:val="00DE768A"/>
    <w:rsid w:val="00DE7DF7"/>
    <w:rsid w:val="00DF034A"/>
    <w:rsid w:val="00DF13EB"/>
    <w:rsid w:val="00DF17FF"/>
    <w:rsid w:val="00DF1E9A"/>
    <w:rsid w:val="00DF2A09"/>
    <w:rsid w:val="00DF2DB8"/>
    <w:rsid w:val="00DF2F3C"/>
    <w:rsid w:val="00DF34DE"/>
    <w:rsid w:val="00DF396F"/>
    <w:rsid w:val="00DF4012"/>
    <w:rsid w:val="00DF50E8"/>
    <w:rsid w:val="00DF5B2B"/>
    <w:rsid w:val="00DF694D"/>
    <w:rsid w:val="00E001B3"/>
    <w:rsid w:val="00E00C2F"/>
    <w:rsid w:val="00E00D25"/>
    <w:rsid w:val="00E00F44"/>
    <w:rsid w:val="00E01187"/>
    <w:rsid w:val="00E017D5"/>
    <w:rsid w:val="00E0335D"/>
    <w:rsid w:val="00E03A71"/>
    <w:rsid w:val="00E053BE"/>
    <w:rsid w:val="00E05C7E"/>
    <w:rsid w:val="00E07CA0"/>
    <w:rsid w:val="00E11766"/>
    <w:rsid w:val="00E12CDC"/>
    <w:rsid w:val="00E12FEC"/>
    <w:rsid w:val="00E15CCE"/>
    <w:rsid w:val="00E17439"/>
    <w:rsid w:val="00E175CE"/>
    <w:rsid w:val="00E17BFE"/>
    <w:rsid w:val="00E235C5"/>
    <w:rsid w:val="00E23948"/>
    <w:rsid w:val="00E2526F"/>
    <w:rsid w:val="00E26973"/>
    <w:rsid w:val="00E2733C"/>
    <w:rsid w:val="00E27512"/>
    <w:rsid w:val="00E30771"/>
    <w:rsid w:val="00E30E08"/>
    <w:rsid w:val="00E31EA5"/>
    <w:rsid w:val="00E327FE"/>
    <w:rsid w:val="00E32C90"/>
    <w:rsid w:val="00E32F49"/>
    <w:rsid w:val="00E330D8"/>
    <w:rsid w:val="00E344E6"/>
    <w:rsid w:val="00E354C6"/>
    <w:rsid w:val="00E35C81"/>
    <w:rsid w:val="00E36C19"/>
    <w:rsid w:val="00E3769F"/>
    <w:rsid w:val="00E4068C"/>
    <w:rsid w:val="00E41052"/>
    <w:rsid w:val="00E41D49"/>
    <w:rsid w:val="00E42303"/>
    <w:rsid w:val="00E429BD"/>
    <w:rsid w:val="00E42A4C"/>
    <w:rsid w:val="00E43213"/>
    <w:rsid w:val="00E4381B"/>
    <w:rsid w:val="00E44E37"/>
    <w:rsid w:val="00E45D21"/>
    <w:rsid w:val="00E46161"/>
    <w:rsid w:val="00E46A15"/>
    <w:rsid w:val="00E47A6C"/>
    <w:rsid w:val="00E52AD7"/>
    <w:rsid w:val="00E54AEF"/>
    <w:rsid w:val="00E5511F"/>
    <w:rsid w:val="00E552DB"/>
    <w:rsid w:val="00E553F9"/>
    <w:rsid w:val="00E5646C"/>
    <w:rsid w:val="00E57A9F"/>
    <w:rsid w:val="00E6066B"/>
    <w:rsid w:val="00E621DE"/>
    <w:rsid w:val="00E62831"/>
    <w:rsid w:val="00E62AB3"/>
    <w:rsid w:val="00E62D86"/>
    <w:rsid w:val="00E62FF9"/>
    <w:rsid w:val="00E630B1"/>
    <w:rsid w:val="00E641E0"/>
    <w:rsid w:val="00E64F08"/>
    <w:rsid w:val="00E6594E"/>
    <w:rsid w:val="00E6602B"/>
    <w:rsid w:val="00E660E1"/>
    <w:rsid w:val="00E66814"/>
    <w:rsid w:val="00E674D7"/>
    <w:rsid w:val="00E70327"/>
    <w:rsid w:val="00E706BA"/>
    <w:rsid w:val="00E714BE"/>
    <w:rsid w:val="00E718ED"/>
    <w:rsid w:val="00E72A34"/>
    <w:rsid w:val="00E72D97"/>
    <w:rsid w:val="00E73255"/>
    <w:rsid w:val="00E7351E"/>
    <w:rsid w:val="00E74F18"/>
    <w:rsid w:val="00E77E94"/>
    <w:rsid w:val="00E8033E"/>
    <w:rsid w:val="00E803E0"/>
    <w:rsid w:val="00E80803"/>
    <w:rsid w:val="00E81CBB"/>
    <w:rsid w:val="00E81EE7"/>
    <w:rsid w:val="00E82720"/>
    <w:rsid w:val="00E82E1A"/>
    <w:rsid w:val="00E83438"/>
    <w:rsid w:val="00E836A4"/>
    <w:rsid w:val="00E84A58"/>
    <w:rsid w:val="00E84CBC"/>
    <w:rsid w:val="00E85081"/>
    <w:rsid w:val="00E852A1"/>
    <w:rsid w:val="00E86B36"/>
    <w:rsid w:val="00E87444"/>
    <w:rsid w:val="00E90344"/>
    <w:rsid w:val="00E91427"/>
    <w:rsid w:val="00E917D2"/>
    <w:rsid w:val="00E91ABB"/>
    <w:rsid w:val="00E91BF7"/>
    <w:rsid w:val="00E93872"/>
    <w:rsid w:val="00E9462A"/>
    <w:rsid w:val="00E95499"/>
    <w:rsid w:val="00E9598B"/>
    <w:rsid w:val="00EA0887"/>
    <w:rsid w:val="00EA1345"/>
    <w:rsid w:val="00EA2441"/>
    <w:rsid w:val="00EA2ED5"/>
    <w:rsid w:val="00EA34C1"/>
    <w:rsid w:val="00EA3B5C"/>
    <w:rsid w:val="00EA48C5"/>
    <w:rsid w:val="00EA4BD1"/>
    <w:rsid w:val="00EA53A1"/>
    <w:rsid w:val="00EA5634"/>
    <w:rsid w:val="00EA7742"/>
    <w:rsid w:val="00EA7B5C"/>
    <w:rsid w:val="00EB248D"/>
    <w:rsid w:val="00EB3BD7"/>
    <w:rsid w:val="00EB45C4"/>
    <w:rsid w:val="00EB59B9"/>
    <w:rsid w:val="00EB6D94"/>
    <w:rsid w:val="00EB7416"/>
    <w:rsid w:val="00EB76EF"/>
    <w:rsid w:val="00EB7CD3"/>
    <w:rsid w:val="00EB7D84"/>
    <w:rsid w:val="00EC05A4"/>
    <w:rsid w:val="00EC1ED8"/>
    <w:rsid w:val="00EC1F09"/>
    <w:rsid w:val="00EC261D"/>
    <w:rsid w:val="00EC2EDF"/>
    <w:rsid w:val="00EC3BC1"/>
    <w:rsid w:val="00EC4088"/>
    <w:rsid w:val="00EC4662"/>
    <w:rsid w:val="00EC4BE8"/>
    <w:rsid w:val="00EC61F0"/>
    <w:rsid w:val="00EC6B34"/>
    <w:rsid w:val="00EC6BAD"/>
    <w:rsid w:val="00ED0166"/>
    <w:rsid w:val="00ED071E"/>
    <w:rsid w:val="00ED07AE"/>
    <w:rsid w:val="00ED2772"/>
    <w:rsid w:val="00ED2A0B"/>
    <w:rsid w:val="00ED3CEB"/>
    <w:rsid w:val="00ED469A"/>
    <w:rsid w:val="00ED5481"/>
    <w:rsid w:val="00ED56C6"/>
    <w:rsid w:val="00ED6067"/>
    <w:rsid w:val="00ED6128"/>
    <w:rsid w:val="00ED6B3D"/>
    <w:rsid w:val="00ED7251"/>
    <w:rsid w:val="00ED7377"/>
    <w:rsid w:val="00ED750F"/>
    <w:rsid w:val="00EE02C6"/>
    <w:rsid w:val="00EE02D0"/>
    <w:rsid w:val="00EE0B9F"/>
    <w:rsid w:val="00EE15EA"/>
    <w:rsid w:val="00EE302B"/>
    <w:rsid w:val="00EE355C"/>
    <w:rsid w:val="00EE382A"/>
    <w:rsid w:val="00EE3A00"/>
    <w:rsid w:val="00EE549F"/>
    <w:rsid w:val="00EE5578"/>
    <w:rsid w:val="00EE5E9F"/>
    <w:rsid w:val="00EF0C0D"/>
    <w:rsid w:val="00EF0D92"/>
    <w:rsid w:val="00EF10F5"/>
    <w:rsid w:val="00EF11F0"/>
    <w:rsid w:val="00EF1259"/>
    <w:rsid w:val="00EF16BB"/>
    <w:rsid w:val="00EF1888"/>
    <w:rsid w:val="00EF1B1B"/>
    <w:rsid w:val="00EF27C3"/>
    <w:rsid w:val="00EF380E"/>
    <w:rsid w:val="00EF410C"/>
    <w:rsid w:val="00EF4185"/>
    <w:rsid w:val="00EF4942"/>
    <w:rsid w:val="00EF4DA3"/>
    <w:rsid w:val="00EF639F"/>
    <w:rsid w:val="00EF69C4"/>
    <w:rsid w:val="00F00B43"/>
    <w:rsid w:val="00F02344"/>
    <w:rsid w:val="00F027D7"/>
    <w:rsid w:val="00F02CCB"/>
    <w:rsid w:val="00F0376D"/>
    <w:rsid w:val="00F039A3"/>
    <w:rsid w:val="00F040B1"/>
    <w:rsid w:val="00F04D3B"/>
    <w:rsid w:val="00F04DEA"/>
    <w:rsid w:val="00F05136"/>
    <w:rsid w:val="00F0548B"/>
    <w:rsid w:val="00F06B85"/>
    <w:rsid w:val="00F101FA"/>
    <w:rsid w:val="00F104A3"/>
    <w:rsid w:val="00F104A7"/>
    <w:rsid w:val="00F10513"/>
    <w:rsid w:val="00F10735"/>
    <w:rsid w:val="00F112FB"/>
    <w:rsid w:val="00F11DC8"/>
    <w:rsid w:val="00F123DC"/>
    <w:rsid w:val="00F124A8"/>
    <w:rsid w:val="00F12C05"/>
    <w:rsid w:val="00F12F59"/>
    <w:rsid w:val="00F12F7F"/>
    <w:rsid w:val="00F13A4E"/>
    <w:rsid w:val="00F14604"/>
    <w:rsid w:val="00F14AD0"/>
    <w:rsid w:val="00F16E28"/>
    <w:rsid w:val="00F20238"/>
    <w:rsid w:val="00F209E2"/>
    <w:rsid w:val="00F20DB3"/>
    <w:rsid w:val="00F21199"/>
    <w:rsid w:val="00F24318"/>
    <w:rsid w:val="00F24520"/>
    <w:rsid w:val="00F25A53"/>
    <w:rsid w:val="00F26B7B"/>
    <w:rsid w:val="00F26E5B"/>
    <w:rsid w:val="00F277BD"/>
    <w:rsid w:val="00F30516"/>
    <w:rsid w:val="00F30B47"/>
    <w:rsid w:val="00F311C5"/>
    <w:rsid w:val="00F31499"/>
    <w:rsid w:val="00F318D3"/>
    <w:rsid w:val="00F31A55"/>
    <w:rsid w:val="00F32048"/>
    <w:rsid w:val="00F3204E"/>
    <w:rsid w:val="00F32290"/>
    <w:rsid w:val="00F329A3"/>
    <w:rsid w:val="00F331B8"/>
    <w:rsid w:val="00F35154"/>
    <w:rsid w:val="00F35A66"/>
    <w:rsid w:val="00F36318"/>
    <w:rsid w:val="00F36AF0"/>
    <w:rsid w:val="00F36DA9"/>
    <w:rsid w:val="00F37305"/>
    <w:rsid w:val="00F37EEF"/>
    <w:rsid w:val="00F40DF1"/>
    <w:rsid w:val="00F42A56"/>
    <w:rsid w:val="00F44DB2"/>
    <w:rsid w:val="00F46570"/>
    <w:rsid w:val="00F467D1"/>
    <w:rsid w:val="00F46F64"/>
    <w:rsid w:val="00F47268"/>
    <w:rsid w:val="00F4789B"/>
    <w:rsid w:val="00F50056"/>
    <w:rsid w:val="00F50402"/>
    <w:rsid w:val="00F51805"/>
    <w:rsid w:val="00F526A6"/>
    <w:rsid w:val="00F52BB7"/>
    <w:rsid w:val="00F5309E"/>
    <w:rsid w:val="00F55976"/>
    <w:rsid w:val="00F6077C"/>
    <w:rsid w:val="00F610EE"/>
    <w:rsid w:val="00F615C8"/>
    <w:rsid w:val="00F6171F"/>
    <w:rsid w:val="00F622B2"/>
    <w:rsid w:val="00F62A12"/>
    <w:rsid w:val="00F63343"/>
    <w:rsid w:val="00F63921"/>
    <w:rsid w:val="00F63D82"/>
    <w:rsid w:val="00F6629A"/>
    <w:rsid w:val="00F7011F"/>
    <w:rsid w:val="00F70613"/>
    <w:rsid w:val="00F71082"/>
    <w:rsid w:val="00F7139E"/>
    <w:rsid w:val="00F728EC"/>
    <w:rsid w:val="00F744BC"/>
    <w:rsid w:val="00F77702"/>
    <w:rsid w:val="00F802A3"/>
    <w:rsid w:val="00F809CD"/>
    <w:rsid w:val="00F8106D"/>
    <w:rsid w:val="00F811E4"/>
    <w:rsid w:val="00F815A7"/>
    <w:rsid w:val="00F82B32"/>
    <w:rsid w:val="00F82FF9"/>
    <w:rsid w:val="00F83D1F"/>
    <w:rsid w:val="00F8436D"/>
    <w:rsid w:val="00F852DF"/>
    <w:rsid w:val="00F85B79"/>
    <w:rsid w:val="00F85BB3"/>
    <w:rsid w:val="00F8640C"/>
    <w:rsid w:val="00F8734F"/>
    <w:rsid w:val="00F92E48"/>
    <w:rsid w:val="00F94A41"/>
    <w:rsid w:val="00F94DC5"/>
    <w:rsid w:val="00F95065"/>
    <w:rsid w:val="00F9507E"/>
    <w:rsid w:val="00F9583A"/>
    <w:rsid w:val="00F9653B"/>
    <w:rsid w:val="00F97382"/>
    <w:rsid w:val="00F976EB"/>
    <w:rsid w:val="00F97868"/>
    <w:rsid w:val="00F9789A"/>
    <w:rsid w:val="00FA015D"/>
    <w:rsid w:val="00FA096A"/>
    <w:rsid w:val="00FA0D2C"/>
    <w:rsid w:val="00FA0DA4"/>
    <w:rsid w:val="00FA13B7"/>
    <w:rsid w:val="00FA13E4"/>
    <w:rsid w:val="00FA14D9"/>
    <w:rsid w:val="00FA3034"/>
    <w:rsid w:val="00FA3C9D"/>
    <w:rsid w:val="00FA4B77"/>
    <w:rsid w:val="00FA65CC"/>
    <w:rsid w:val="00FA674B"/>
    <w:rsid w:val="00FA681E"/>
    <w:rsid w:val="00FA684C"/>
    <w:rsid w:val="00FA6C27"/>
    <w:rsid w:val="00FA6F1A"/>
    <w:rsid w:val="00FB0858"/>
    <w:rsid w:val="00FB1410"/>
    <w:rsid w:val="00FB1438"/>
    <w:rsid w:val="00FB1CBA"/>
    <w:rsid w:val="00FB2CB9"/>
    <w:rsid w:val="00FB3DCF"/>
    <w:rsid w:val="00FB4117"/>
    <w:rsid w:val="00FB46FC"/>
    <w:rsid w:val="00FB4ACD"/>
    <w:rsid w:val="00FB5BFF"/>
    <w:rsid w:val="00FB6828"/>
    <w:rsid w:val="00FC0459"/>
    <w:rsid w:val="00FC0809"/>
    <w:rsid w:val="00FC137D"/>
    <w:rsid w:val="00FC207F"/>
    <w:rsid w:val="00FC2680"/>
    <w:rsid w:val="00FC295F"/>
    <w:rsid w:val="00FC3EB1"/>
    <w:rsid w:val="00FC3ED1"/>
    <w:rsid w:val="00FC4234"/>
    <w:rsid w:val="00FC55E7"/>
    <w:rsid w:val="00FC6130"/>
    <w:rsid w:val="00FC6472"/>
    <w:rsid w:val="00FC688D"/>
    <w:rsid w:val="00FC68C5"/>
    <w:rsid w:val="00FC6B65"/>
    <w:rsid w:val="00FC6F19"/>
    <w:rsid w:val="00FD00E8"/>
    <w:rsid w:val="00FD064A"/>
    <w:rsid w:val="00FD2B80"/>
    <w:rsid w:val="00FD37B0"/>
    <w:rsid w:val="00FD37C7"/>
    <w:rsid w:val="00FD53F5"/>
    <w:rsid w:val="00FD5419"/>
    <w:rsid w:val="00FD6E14"/>
    <w:rsid w:val="00FD70D3"/>
    <w:rsid w:val="00FD711F"/>
    <w:rsid w:val="00FD7A3F"/>
    <w:rsid w:val="00FD7D37"/>
    <w:rsid w:val="00FE0329"/>
    <w:rsid w:val="00FE034A"/>
    <w:rsid w:val="00FE0D29"/>
    <w:rsid w:val="00FE33C4"/>
    <w:rsid w:val="00FE3771"/>
    <w:rsid w:val="00FE3D3C"/>
    <w:rsid w:val="00FE537D"/>
    <w:rsid w:val="00FE712F"/>
    <w:rsid w:val="00FE75EC"/>
    <w:rsid w:val="00FF01D5"/>
    <w:rsid w:val="00FF0347"/>
    <w:rsid w:val="00FF1D49"/>
    <w:rsid w:val="00FF2161"/>
    <w:rsid w:val="00FF2583"/>
    <w:rsid w:val="00FF28E8"/>
    <w:rsid w:val="00FF3124"/>
    <w:rsid w:val="00FF3BDB"/>
    <w:rsid w:val="00FF4DD4"/>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EFC9D"/>
  <w15:docId w15:val="{EF19C0A3-BD52-4F57-82AB-32866491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2A"/>
    <w:rPr>
      <w:sz w:val="22"/>
      <w:szCs w:val="24"/>
    </w:rPr>
  </w:style>
  <w:style w:type="paragraph" w:styleId="Heading1">
    <w:name w:val="heading 1"/>
    <w:basedOn w:val="Normal"/>
    <w:next w:val="Normal"/>
    <w:link w:val="Heading1Char"/>
    <w:uiPriority w:val="9"/>
    <w:qFormat/>
    <w:rsid w:val="00B32820"/>
    <w:pPr>
      <w:keepNext/>
      <w:keepLines/>
      <w:numPr>
        <w:numId w:val="2"/>
      </w:numPr>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32820"/>
    <w:pPr>
      <w:keepNext/>
      <w:keepLines/>
      <w:numPr>
        <w:numId w:val="3"/>
      </w:numPr>
      <w:spacing w:before="2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iPriority w:val="9"/>
    <w:unhideWhenUsed/>
    <w:qFormat/>
    <w:rsid w:val="007E61B5"/>
    <w:pPr>
      <w:outlineLvl w:val="2"/>
    </w:pPr>
    <w:rPr>
      <w:rFonts w:asciiTheme="minorHAnsi" w:hAnsiTheme="minorHAnsi"/>
    </w:rPr>
  </w:style>
  <w:style w:type="paragraph" w:styleId="Heading4">
    <w:name w:val="heading 4"/>
    <w:basedOn w:val="Normal"/>
    <w:next w:val="Normal"/>
    <w:link w:val="Heading4Char"/>
    <w:uiPriority w:val="9"/>
    <w:unhideWhenUsed/>
    <w:qFormat/>
    <w:rsid w:val="000047D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047D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47DF"/>
    <w:pPr>
      <w:numPr>
        <w:numId w:val="7"/>
      </w:num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47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2980"/>
    <w:pPr>
      <w:ind w:left="720"/>
      <w:contextualSpacing/>
    </w:pPr>
  </w:style>
  <w:style w:type="table" w:styleId="TableGrid">
    <w:name w:val="Table Grid"/>
    <w:basedOn w:val="TableNormal"/>
    <w:uiPriority w:val="59"/>
    <w:rsid w:val="00C8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8D0"/>
    <w:rPr>
      <w:rFonts w:ascii="Tahoma" w:hAnsi="Tahoma" w:cs="Tahoma"/>
      <w:sz w:val="16"/>
      <w:szCs w:val="16"/>
    </w:rPr>
  </w:style>
  <w:style w:type="character" w:customStyle="1" w:styleId="BalloonTextChar">
    <w:name w:val="Balloon Text Char"/>
    <w:basedOn w:val="DefaultParagraphFont"/>
    <w:link w:val="BalloonText"/>
    <w:uiPriority w:val="99"/>
    <w:semiHidden/>
    <w:rsid w:val="003F28D0"/>
    <w:rPr>
      <w:rFonts w:ascii="Tahoma" w:hAnsi="Tahoma" w:cs="Tahoma"/>
      <w:sz w:val="16"/>
      <w:szCs w:val="16"/>
    </w:rPr>
  </w:style>
  <w:style w:type="character" w:styleId="Hyperlink">
    <w:name w:val="Hyperlink"/>
    <w:basedOn w:val="DefaultParagraphFont"/>
    <w:uiPriority w:val="99"/>
    <w:unhideWhenUsed/>
    <w:rsid w:val="00AC5A6E"/>
    <w:rPr>
      <w:color w:val="0000FF"/>
      <w:u w:val="single"/>
    </w:rPr>
  </w:style>
  <w:style w:type="paragraph" w:customStyle="1" w:styleId="Default">
    <w:name w:val="Default"/>
    <w:basedOn w:val="Normal"/>
    <w:rsid w:val="00AC5A6E"/>
    <w:pPr>
      <w:autoSpaceDE w:val="0"/>
      <w:autoSpaceDN w:val="0"/>
    </w:pPr>
    <w:rPr>
      <w:rFonts w:ascii="Cambria" w:eastAsiaTheme="minorHAnsi" w:hAnsi="Cambria"/>
      <w:color w:val="000000"/>
    </w:rPr>
  </w:style>
  <w:style w:type="paragraph" w:customStyle="1" w:styleId="CM5">
    <w:name w:val="CM5"/>
    <w:basedOn w:val="Normal"/>
    <w:uiPriority w:val="99"/>
    <w:rsid w:val="00AC5A6E"/>
    <w:pPr>
      <w:autoSpaceDE w:val="0"/>
      <w:autoSpaceDN w:val="0"/>
    </w:pPr>
    <w:rPr>
      <w:rFonts w:ascii="Cambria" w:eastAsiaTheme="minorHAnsi" w:hAnsi="Cambria"/>
    </w:rPr>
  </w:style>
  <w:style w:type="paragraph" w:customStyle="1" w:styleId="CM60">
    <w:name w:val="CM60"/>
    <w:basedOn w:val="Normal"/>
    <w:uiPriority w:val="99"/>
    <w:rsid w:val="00AC5A6E"/>
    <w:pPr>
      <w:autoSpaceDE w:val="0"/>
      <w:autoSpaceDN w:val="0"/>
    </w:pPr>
    <w:rPr>
      <w:rFonts w:ascii="Cambria" w:eastAsiaTheme="minorHAnsi" w:hAnsi="Cambria"/>
    </w:rPr>
  </w:style>
  <w:style w:type="paragraph" w:styleId="Header">
    <w:name w:val="header"/>
    <w:basedOn w:val="Normal"/>
    <w:link w:val="HeaderChar"/>
    <w:uiPriority w:val="99"/>
    <w:unhideWhenUsed/>
    <w:rsid w:val="00884B5E"/>
    <w:pPr>
      <w:tabs>
        <w:tab w:val="center" w:pos="4680"/>
        <w:tab w:val="right" w:pos="9360"/>
      </w:tabs>
    </w:pPr>
  </w:style>
  <w:style w:type="character" w:customStyle="1" w:styleId="HeaderChar">
    <w:name w:val="Header Char"/>
    <w:basedOn w:val="DefaultParagraphFont"/>
    <w:link w:val="Header"/>
    <w:uiPriority w:val="99"/>
    <w:rsid w:val="00884B5E"/>
  </w:style>
  <w:style w:type="paragraph" w:styleId="Footer">
    <w:name w:val="footer"/>
    <w:basedOn w:val="Normal"/>
    <w:link w:val="FooterChar"/>
    <w:uiPriority w:val="99"/>
    <w:unhideWhenUsed/>
    <w:rsid w:val="00884B5E"/>
    <w:pPr>
      <w:tabs>
        <w:tab w:val="center" w:pos="4680"/>
        <w:tab w:val="right" w:pos="9360"/>
      </w:tabs>
    </w:pPr>
  </w:style>
  <w:style w:type="character" w:customStyle="1" w:styleId="FooterChar">
    <w:name w:val="Footer Char"/>
    <w:basedOn w:val="DefaultParagraphFont"/>
    <w:link w:val="Footer"/>
    <w:uiPriority w:val="99"/>
    <w:rsid w:val="00884B5E"/>
  </w:style>
  <w:style w:type="character" w:customStyle="1" w:styleId="Heading1Char">
    <w:name w:val="Heading 1 Char"/>
    <w:basedOn w:val="DefaultParagraphFont"/>
    <w:link w:val="Heading1"/>
    <w:uiPriority w:val="9"/>
    <w:rsid w:val="00B32820"/>
    <w:rPr>
      <w:rFonts w:asciiTheme="majorHAnsi" w:eastAsiaTheme="majorEastAsia" w:hAnsiTheme="majorHAnsi" w:cstheme="majorBidi"/>
      <w:b/>
      <w:bCs/>
      <w:color w:val="365F91" w:themeColor="accent1" w:themeShade="BF"/>
      <w:sz w:val="32"/>
      <w:szCs w:val="28"/>
    </w:rPr>
  </w:style>
  <w:style w:type="character" w:styleId="SubtleEmphasis">
    <w:name w:val="Subtle Emphasis"/>
    <w:basedOn w:val="DefaultParagraphFont"/>
    <w:uiPriority w:val="19"/>
    <w:qFormat/>
    <w:rsid w:val="00884B5E"/>
    <w:rPr>
      <w:i/>
      <w:iCs/>
      <w:color w:val="808080" w:themeColor="text1" w:themeTint="7F"/>
    </w:rPr>
  </w:style>
  <w:style w:type="paragraph" w:styleId="TOCHeading">
    <w:name w:val="TOC Heading"/>
    <w:basedOn w:val="Heading1"/>
    <w:next w:val="Normal"/>
    <w:uiPriority w:val="39"/>
    <w:unhideWhenUsed/>
    <w:qFormat/>
    <w:rsid w:val="001E1375"/>
    <w:pPr>
      <w:spacing w:line="276" w:lineRule="auto"/>
      <w:outlineLvl w:val="9"/>
    </w:pPr>
    <w:rPr>
      <w:lang w:eastAsia="ja-JP"/>
    </w:rPr>
  </w:style>
  <w:style w:type="character" w:styleId="Emphasis">
    <w:name w:val="Emphasis"/>
    <w:basedOn w:val="DefaultParagraphFont"/>
    <w:uiPriority w:val="20"/>
    <w:qFormat/>
    <w:rsid w:val="00C30102"/>
    <w:rPr>
      <w:i/>
      <w:iCs/>
    </w:rPr>
  </w:style>
  <w:style w:type="paragraph" w:styleId="BodyText">
    <w:name w:val="Body Text"/>
    <w:basedOn w:val="Normal"/>
    <w:link w:val="BodyTextChar"/>
    <w:rsid w:val="00A84720"/>
    <w:pPr>
      <w:tabs>
        <w:tab w:val="left" w:pos="576"/>
        <w:tab w:val="left" w:pos="2016"/>
        <w:tab w:val="left" w:pos="3456"/>
        <w:tab w:val="left" w:pos="4896"/>
      </w:tabs>
      <w:suppressAutoHyphens/>
    </w:pPr>
    <w:rPr>
      <w:rFonts w:ascii="Arial" w:hAnsi="Arial" w:cs="Arial"/>
    </w:rPr>
  </w:style>
  <w:style w:type="character" w:customStyle="1" w:styleId="BodyTextChar">
    <w:name w:val="Body Text Char"/>
    <w:basedOn w:val="DefaultParagraphFont"/>
    <w:link w:val="BodyText"/>
    <w:rsid w:val="00A84720"/>
    <w:rPr>
      <w:rFonts w:ascii="Arial" w:hAnsi="Arial" w:cs="Arial"/>
      <w:sz w:val="22"/>
    </w:rPr>
  </w:style>
  <w:style w:type="paragraph" w:styleId="NoSpacing">
    <w:name w:val="No Spacing"/>
    <w:link w:val="NoSpacingChar"/>
    <w:uiPriority w:val="1"/>
    <w:qFormat/>
    <w:rsid w:val="00F104A3"/>
  </w:style>
  <w:style w:type="character" w:customStyle="1" w:styleId="NoSpacingChar">
    <w:name w:val="No Spacing Char"/>
    <w:basedOn w:val="DefaultParagraphFont"/>
    <w:link w:val="NoSpacing"/>
    <w:uiPriority w:val="1"/>
    <w:rsid w:val="00BF2878"/>
  </w:style>
  <w:style w:type="paragraph" w:styleId="TOC1">
    <w:name w:val="toc 1"/>
    <w:basedOn w:val="Normal"/>
    <w:next w:val="Normal"/>
    <w:autoRedefine/>
    <w:uiPriority w:val="39"/>
    <w:unhideWhenUsed/>
    <w:rsid w:val="00247EAB"/>
    <w:pPr>
      <w:tabs>
        <w:tab w:val="left" w:pos="461"/>
        <w:tab w:val="right" w:leader="dot" w:pos="10070"/>
      </w:tabs>
      <w:spacing w:before="120"/>
    </w:pPr>
    <w:rPr>
      <w:rFonts w:ascii="Calibri" w:hAnsi="Calibri"/>
    </w:rPr>
  </w:style>
  <w:style w:type="paragraph" w:styleId="FootnoteText">
    <w:name w:val="footnote text"/>
    <w:basedOn w:val="Normal"/>
    <w:link w:val="FootnoteTextChar"/>
    <w:uiPriority w:val="99"/>
    <w:unhideWhenUsed/>
    <w:rsid w:val="008F01D6"/>
  </w:style>
  <w:style w:type="character" w:customStyle="1" w:styleId="FootnoteTextChar">
    <w:name w:val="Footnote Text Char"/>
    <w:basedOn w:val="DefaultParagraphFont"/>
    <w:link w:val="FootnoteText"/>
    <w:uiPriority w:val="99"/>
    <w:rsid w:val="008F01D6"/>
  </w:style>
  <w:style w:type="character" w:styleId="FootnoteReference">
    <w:name w:val="footnote reference"/>
    <w:basedOn w:val="DefaultParagraphFont"/>
    <w:uiPriority w:val="99"/>
    <w:semiHidden/>
    <w:unhideWhenUsed/>
    <w:rsid w:val="008F01D6"/>
    <w:rPr>
      <w:vertAlign w:val="superscript"/>
    </w:rPr>
  </w:style>
  <w:style w:type="character" w:styleId="CommentReference">
    <w:name w:val="annotation reference"/>
    <w:basedOn w:val="DefaultParagraphFont"/>
    <w:uiPriority w:val="99"/>
    <w:semiHidden/>
    <w:unhideWhenUsed/>
    <w:rsid w:val="00E017D5"/>
    <w:rPr>
      <w:sz w:val="16"/>
      <w:szCs w:val="16"/>
    </w:rPr>
  </w:style>
  <w:style w:type="paragraph" w:styleId="CommentText">
    <w:name w:val="annotation text"/>
    <w:basedOn w:val="Normal"/>
    <w:link w:val="CommentTextChar"/>
    <w:uiPriority w:val="99"/>
    <w:unhideWhenUsed/>
    <w:rsid w:val="00E017D5"/>
  </w:style>
  <w:style w:type="character" w:customStyle="1" w:styleId="CommentTextChar">
    <w:name w:val="Comment Text Char"/>
    <w:basedOn w:val="DefaultParagraphFont"/>
    <w:link w:val="CommentText"/>
    <w:uiPriority w:val="99"/>
    <w:rsid w:val="00E017D5"/>
  </w:style>
  <w:style w:type="paragraph" w:styleId="CommentSubject">
    <w:name w:val="annotation subject"/>
    <w:basedOn w:val="CommentText"/>
    <w:next w:val="CommentText"/>
    <w:link w:val="CommentSubjectChar"/>
    <w:uiPriority w:val="99"/>
    <w:semiHidden/>
    <w:unhideWhenUsed/>
    <w:rsid w:val="00E017D5"/>
    <w:rPr>
      <w:b/>
      <w:bCs/>
    </w:rPr>
  </w:style>
  <w:style w:type="character" w:customStyle="1" w:styleId="CommentSubjectChar">
    <w:name w:val="Comment Subject Char"/>
    <w:basedOn w:val="CommentTextChar"/>
    <w:link w:val="CommentSubject"/>
    <w:uiPriority w:val="99"/>
    <w:semiHidden/>
    <w:rsid w:val="00E017D5"/>
    <w:rPr>
      <w:b/>
      <w:bCs/>
    </w:rPr>
  </w:style>
  <w:style w:type="character" w:customStyle="1" w:styleId="Heading2Char">
    <w:name w:val="Heading 2 Char"/>
    <w:basedOn w:val="DefaultParagraphFont"/>
    <w:link w:val="Heading2"/>
    <w:uiPriority w:val="9"/>
    <w:rsid w:val="00B328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61B5"/>
    <w:rPr>
      <w:rFonts w:asciiTheme="minorHAnsi" w:eastAsiaTheme="majorEastAsia" w:hAnsiTheme="minorHAnsi" w:cstheme="majorBidi"/>
      <w:color w:val="365F91" w:themeColor="accent1" w:themeShade="BF"/>
      <w:sz w:val="26"/>
      <w:szCs w:val="26"/>
    </w:rPr>
  </w:style>
  <w:style w:type="character" w:customStyle="1" w:styleId="Heading4Char">
    <w:name w:val="Heading 4 Char"/>
    <w:basedOn w:val="DefaultParagraphFont"/>
    <w:link w:val="Heading4"/>
    <w:uiPriority w:val="9"/>
    <w:rsid w:val="000047DF"/>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0047DF"/>
    <w:rPr>
      <w:rFonts w:asciiTheme="majorHAnsi" w:eastAsiaTheme="majorEastAsia" w:hAnsiTheme="majorHAnsi" w:cstheme="majorBidi"/>
      <w:color w:val="365F91" w:themeColor="accent1" w:themeShade="BF"/>
      <w:sz w:val="24"/>
      <w:szCs w:val="24"/>
    </w:rPr>
  </w:style>
  <w:style w:type="paragraph" w:styleId="TOC2">
    <w:name w:val="toc 2"/>
    <w:basedOn w:val="Normal"/>
    <w:next w:val="Normal"/>
    <w:autoRedefine/>
    <w:uiPriority w:val="39"/>
    <w:unhideWhenUsed/>
    <w:rsid w:val="00B32820"/>
    <w:pPr>
      <w:tabs>
        <w:tab w:val="left" w:pos="734"/>
        <w:tab w:val="right" w:leader="dot" w:pos="10070"/>
      </w:tabs>
      <w:spacing w:before="60"/>
      <w:ind w:left="461"/>
    </w:pPr>
    <w:rPr>
      <w:rFonts w:asciiTheme="minorHAnsi" w:hAnsiTheme="minorHAnsi"/>
    </w:rPr>
  </w:style>
  <w:style w:type="paragraph" w:styleId="TOC3">
    <w:name w:val="toc 3"/>
    <w:basedOn w:val="Normal"/>
    <w:next w:val="Normal"/>
    <w:autoRedefine/>
    <w:uiPriority w:val="39"/>
    <w:unhideWhenUsed/>
    <w:rsid w:val="00B32820"/>
    <w:pPr>
      <w:tabs>
        <w:tab w:val="left" w:pos="1008"/>
        <w:tab w:val="right" w:pos="10066"/>
      </w:tabs>
      <w:ind w:left="720"/>
    </w:pPr>
    <w:rPr>
      <w:rFonts w:asciiTheme="minorHAnsi" w:hAnsiTheme="minorHAnsi"/>
    </w:rPr>
  </w:style>
  <w:style w:type="paragraph" w:styleId="EndnoteText">
    <w:name w:val="endnote text"/>
    <w:basedOn w:val="Normal"/>
    <w:link w:val="EndnoteTextChar"/>
    <w:uiPriority w:val="99"/>
    <w:semiHidden/>
    <w:unhideWhenUsed/>
    <w:rsid w:val="00F610EE"/>
    <w:rPr>
      <w:sz w:val="20"/>
      <w:szCs w:val="20"/>
    </w:rPr>
  </w:style>
  <w:style w:type="character" w:customStyle="1" w:styleId="EndnoteTextChar">
    <w:name w:val="Endnote Text Char"/>
    <w:basedOn w:val="DefaultParagraphFont"/>
    <w:link w:val="EndnoteText"/>
    <w:uiPriority w:val="99"/>
    <w:semiHidden/>
    <w:rsid w:val="00F610EE"/>
  </w:style>
  <w:style w:type="character" w:styleId="EndnoteReference">
    <w:name w:val="endnote reference"/>
    <w:basedOn w:val="DefaultParagraphFont"/>
    <w:uiPriority w:val="99"/>
    <w:semiHidden/>
    <w:unhideWhenUsed/>
    <w:rsid w:val="00F610EE"/>
    <w:rPr>
      <w:vertAlign w:val="superscript"/>
    </w:rPr>
  </w:style>
  <w:style w:type="paragraph" w:styleId="Revision">
    <w:name w:val="Revision"/>
    <w:hidden/>
    <w:uiPriority w:val="99"/>
    <w:semiHidden/>
    <w:rsid w:val="003C5DEF"/>
    <w:rPr>
      <w:sz w:val="24"/>
      <w:szCs w:val="24"/>
    </w:rPr>
  </w:style>
  <w:style w:type="character" w:styleId="PageNumber">
    <w:name w:val="page number"/>
    <w:basedOn w:val="DefaultParagraphFont"/>
    <w:uiPriority w:val="99"/>
    <w:semiHidden/>
    <w:unhideWhenUsed/>
    <w:rsid w:val="00BE1190"/>
  </w:style>
  <w:style w:type="table" w:customStyle="1" w:styleId="TableGrid1">
    <w:name w:val="Table Grid1"/>
    <w:basedOn w:val="TableNormal"/>
    <w:next w:val="TableGrid"/>
    <w:uiPriority w:val="59"/>
    <w:rsid w:val="0021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0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7873">
      <w:bodyDiv w:val="1"/>
      <w:marLeft w:val="0"/>
      <w:marRight w:val="0"/>
      <w:marTop w:val="0"/>
      <w:marBottom w:val="0"/>
      <w:divBdr>
        <w:top w:val="none" w:sz="0" w:space="0" w:color="auto"/>
        <w:left w:val="none" w:sz="0" w:space="0" w:color="auto"/>
        <w:bottom w:val="none" w:sz="0" w:space="0" w:color="auto"/>
        <w:right w:val="none" w:sz="0" w:space="0" w:color="auto"/>
      </w:divBdr>
    </w:div>
    <w:div w:id="796142747">
      <w:bodyDiv w:val="1"/>
      <w:marLeft w:val="0"/>
      <w:marRight w:val="0"/>
      <w:marTop w:val="0"/>
      <w:marBottom w:val="0"/>
      <w:divBdr>
        <w:top w:val="none" w:sz="0" w:space="0" w:color="auto"/>
        <w:left w:val="none" w:sz="0" w:space="0" w:color="auto"/>
        <w:bottom w:val="none" w:sz="0" w:space="0" w:color="auto"/>
        <w:right w:val="none" w:sz="0" w:space="0" w:color="auto"/>
      </w:divBdr>
    </w:div>
    <w:div w:id="959145803">
      <w:bodyDiv w:val="1"/>
      <w:marLeft w:val="0"/>
      <w:marRight w:val="0"/>
      <w:marTop w:val="0"/>
      <w:marBottom w:val="0"/>
      <w:divBdr>
        <w:top w:val="none" w:sz="0" w:space="0" w:color="auto"/>
        <w:left w:val="none" w:sz="0" w:space="0" w:color="auto"/>
        <w:bottom w:val="none" w:sz="0" w:space="0" w:color="auto"/>
        <w:right w:val="none" w:sz="0" w:space="0" w:color="auto"/>
      </w:divBdr>
    </w:div>
    <w:div w:id="1108500400">
      <w:bodyDiv w:val="1"/>
      <w:marLeft w:val="0"/>
      <w:marRight w:val="0"/>
      <w:marTop w:val="0"/>
      <w:marBottom w:val="0"/>
      <w:divBdr>
        <w:top w:val="none" w:sz="0" w:space="0" w:color="auto"/>
        <w:left w:val="none" w:sz="0" w:space="0" w:color="auto"/>
        <w:bottom w:val="none" w:sz="0" w:space="0" w:color="auto"/>
        <w:right w:val="none" w:sz="0" w:space="0" w:color="auto"/>
      </w:divBdr>
    </w:div>
    <w:div w:id="1117329528">
      <w:bodyDiv w:val="1"/>
      <w:marLeft w:val="0"/>
      <w:marRight w:val="0"/>
      <w:marTop w:val="0"/>
      <w:marBottom w:val="0"/>
      <w:divBdr>
        <w:top w:val="none" w:sz="0" w:space="0" w:color="auto"/>
        <w:left w:val="none" w:sz="0" w:space="0" w:color="auto"/>
        <w:bottom w:val="none" w:sz="0" w:space="0" w:color="auto"/>
        <w:right w:val="none" w:sz="0" w:space="0" w:color="auto"/>
      </w:divBdr>
    </w:div>
    <w:div w:id="1149517555">
      <w:bodyDiv w:val="1"/>
      <w:marLeft w:val="0"/>
      <w:marRight w:val="0"/>
      <w:marTop w:val="0"/>
      <w:marBottom w:val="0"/>
      <w:divBdr>
        <w:top w:val="none" w:sz="0" w:space="0" w:color="auto"/>
        <w:left w:val="none" w:sz="0" w:space="0" w:color="auto"/>
        <w:bottom w:val="none" w:sz="0" w:space="0" w:color="auto"/>
        <w:right w:val="none" w:sz="0" w:space="0" w:color="auto"/>
      </w:divBdr>
    </w:div>
    <w:div w:id="1230504507">
      <w:bodyDiv w:val="1"/>
      <w:marLeft w:val="0"/>
      <w:marRight w:val="0"/>
      <w:marTop w:val="0"/>
      <w:marBottom w:val="0"/>
      <w:divBdr>
        <w:top w:val="none" w:sz="0" w:space="0" w:color="auto"/>
        <w:left w:val="none" w:sz="0" w:space="0" w:color="auto"/>
        <w:bottom w:val="none" w:sz="0" w:space="0" w:color="auto"/>
        <w:right w:val="none" w:sz="0" w:space="0" w:color="auto"/>
      </w:divBdr>
    </w:div>
    <w:div w:id="1311977049">
      <w:bodyDiv w:val="1"/>
      <w:marLeft w:val="0"/>
      <w:marRight w:val="0"/>
      <w:marTop w:val="0"/>
      <w:marBottom w:val="0"/>
      <w:divBdr>
        <w:top w:val="none" w:sz="0" w:space="0" w:color="auto"/>
        <w:left w:val="none" w:sz="0" w:space="0" w:color="auto"/>
        <w:bottom w:val="none" w:sz="0" w:space="0" w:color="auto"/>
        <w:right w:val="none" w:sz="0" w:space="0" w:color="auto"/>
      </w:divBdr>
    </w:div>
    <w:div w:id="1312518272">
      <w:bodyDiv w:val="1"/>
      <w:marLeft w:val="0"/>
      <w:marRight w:val="0"/>
      <w:marTop w:val="0"/>
      <w:marBottom w:val="0"/>
      <w:divBdr>
        <w:top w:val="none" w:sz="0" w:space="0" w:color="auto"/>
        <w:left w:val="none" w:sz="0" w:space="0" w:color="auto"/>
        <w:bottom w:val="none" w:sz="0" w:space="0" w:color="auto"/>
        <w:right w:val="none" w:sz="0" w:space="0" w:color="auto"/>
      </w:divBdr>
    </w:div>
    <w:div w:id="1340156570">
      <w:bodyDiv w:val="1"/>
      <w:marLeft w:val="0"/>
      <w:marRight w:val="0"/>
      <w:marTop w:val="0"/>
      <w:marBottom w:val="0"/>
      <w:divBdr>
        <w:top w:val="none" w:sz="0" w:space="0" w:color="auto"/>
        <w:left w:val="none" w:sz="0" w:space="0" w:color="auto"/>
        <w:bottom w:val="none" w:sz="0" w:space="0" w:color="auto"/>
        <w:right w:val="none" w:sz="0" w:space="0" w:color="auto"/>
      </w:divBdr>
    </w:div>
    <w:div w:id="1727677007">
      <w:bodyDiv w:val="1"/>
      <w:marLeft w:val="0"/>
      <w:marRight w:val="0"/>
      <w:marTop w:val="0"/>
      <w:marBottom w:val="0"/>
      <w:divBdr>
        <w:top w:val="none" w:sz="0" w:space="0" w:color="auto"/>
        <w:left w:val="none" w:sz="0" w:space="0" w:color="auto"/>
        <w:bottom w:val="none" w:sz="0" w:space="0" w:color="auto"/>
        <w:right w:val="none" w:sz="0" w:space="0" w:color="auto"/>
      </w:divBdr>
    </w:div>
    <w:div w:id="1728381045">
      <w:bodyDiv w:val="1"/>
      <w:marLeft w:val="0"/>
      <w:marRight w:val="0"/>
      <w:marTop w:val="0"/>
      <w:marBottom w:val="0"/>
      <w:divBdr>
        <w:top w:val="none" w:sz="0" w:space="0" w:color="auto"/>
        <w:left w:val="none" w:sz="0" w:space="0" w:color="auto"/>
        <w:bottom w:val="none" w:sz="0" w:space="0" w:color="auto"/>
        <w:right w:val="none" w:sz="0" w:space="0" w:color="auto"/>
      </w:divBdr>
    </w:div>
    <w:div w:id="1733036197">
      <w:bodyDiv w:val="1"/>
      <w:marLeft w:val="0"/>
      <w:marRight w:val="0"/>
      <w:marTop w:val="0"/>
      <w:marBottom w:val="0"/>
      <w:divBdr>
        <w:top w:val="none" w:sz="0" w:space="0" w:color="auto"/>
        <w:left w:val="none" w:sz="0" w:space="0" w:color="auto"/>
        <w:bottom w:val="none" w:sz="0" w:space="0" w:color="auto"/>
        <w:right w:val="none" w:sz="0" w:space="0" w:color="auto"/>
      </w:divBdr>
    </w:div>
    <w:div w:id="1889492995">
      <w:bodyDiv w:val="1"/>
      <w:marLeft w:val="0"/>
      <w:marRight w:val="0"/>
      <w:marTop w:val="0"/>
      <w:marBottom w:val="0"/>
      <w:divBdr>
        <w:top w:val="none" w:sz="0" w:space="0" w:color="auto"/>
        <w:left w:val="none" w:sz="0" w:space="0" w:color="auto"/>
        <w:bottom w:val="none" w:sz="0" w:space="0" w:color="auto"/>
        <w:right w:val="none" w:sz="0" w:space="0" w:color="auto"/>
      </w:divBdr>
    </w:div>
    <w:div w:id="2023362088">
      <w:bodyDiv w:val="1"/>
      <w:marLeft w:val="0"/>
      <w:marRight w:val="0"/>
      <w:marTop w:val="0"/>
      <w:marBottom w:val="0"/>
      <w:divBdr>
        <w:top w:val="none" w:sz="0" w:space="0" w:color="auto"/>
        <w:left w:val="none" w:sz="0" w:space="0" w:color="auto"/>
        <w:bottom w:val="none" w:sz="0" w:space="0" w:color="auto"/>
        <w:right w:val="none" w:sz="0" w:space="0" w:color="auto"/>
      </w:divBdr>
    </w:div>
    <w:div w:id="20769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insurance.pa.gov/Companies/ProductAndRateRequire/Pages/default.asp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jfabianmar@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http://www.insurance.pa.gov" TargetMode="External"/><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http://www.insurance.pa.gov"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This draft document is available for public comment through [Date]. The final document is subject to change based on comments received and release of final federal rulemaking and guidance for the 2017 plan year.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094DA05BC7784987BC9915624F24C2" ma:contentTypeVersion="2" ma:contentTypeDescription="Create a new document." ma:contentTypeScope="" ma:versionID="ac1ed2d6e40c37f624dedd515c756de2">
  <xsd:schema xmlns:xsd="http://www.w3.org/2001/XMLSchema" xmlns:xs="http://www.w3.org/2001/XMLSchema" xmlns:p="http://schemas.microsoft.com/office/2006/metadata/properties" xmlns:ns1="http://schemas.microsoft.com/sharepoint/v3" targetNamespace="http://schemas.microsoft.com/office/2006/metadata/properties" ma:root="true" ma:fieldsID="a81f89f4c3a8d63d8be1271fc62fef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2081D8-6AEF-4709-BCF9-F960A7BCF6B4}"/>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BD1E58D-C319-4AF0-BAB9-F42F4112D3C2}"/>
</file>

<file path=customXml/itemProps4.xml><?xml version="1.0" encoding="utf-8"?>
<ds:datastoreItem xmlns:ds="http://schemas.openxmlformats.org/officeDocument/2006/customXml" ds:itemID="{F06FFD45-3DC6-46E7-A461-64377F0B6B87}"/>
</file>

<file path=customXml/itemProps5.xml><?xml version="1.0" encoding="utf-8"?>
<ds:datastoreItem xmlns:ds="http://schemas.openxmlformats.org/officeDocument/2006/customXml" ds:itemID="{3093ECA8-797E-421D-AD35-273BAF41688D}"/>
</file>

<file path=docProps/app.xml><?xml version="1.0" encoding="utf-8"?>
<Properties xmlns="http://schemas.openxmlformats.org/officeDocument/2006/extended-properties" xmlns:vt="http://schemas.openxmlformats.org/officeDocument/2006/docPropsVTypes">
  <Template>Normal</Template>
  <TotalTime>7</TotalTime>
  <Pages>22</Pages>
  <Words>9327</Words>
  <Characters>53166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Pennsylvania Insurance Department</vt:lpstr>
    </vt:vector>
  </TitlesOfParts>
  <Company>Pennsylvania Insurance Department</Company>
  <LinksUpToDate>false</LinksUpToDate>
  <CharactersWithSpaces>62369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Insurance Department</dc:title>
  <dc:subject>Rate Filing Requirements</dc:subject>
  <dc:creator>csandersjo</dc:creator>
  <cp:lastModifiedBy>Fabian-Marks, Johanna</cp:lastModifiedBy>
  <cp:revision>4</cp:revision>
  <cp:lastPrinted>2017-01-27T13:51:00Z</cp:lastPrinted>
  <dcterms:created xsi:type="dcterms:W3CDTF">2017-02-08T20:14:00Z</dcterms:created>
  <dcterms:modified xsi:type="dcterms:W3CDTF">2017-02-08T20:21:00Z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0x0101005B094DA05BC7784987BC9915624F24C2</vt:lpwstr>
  </property>
  <property fmtid="{D5CDD505-2E9C-101B-9397-08002B2CF9AE}" pid="3" name="_DocHome">
    <vt:i4>-1707833305</vt:i4>
  </property>
  <property fmtid="{D5CDD505-2E9C-101B-9397-08002B2CF9AE}" pid="4" name="Order">
    <vt:r8>12300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