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4320"/>
        <w:gridCol w:w="1260"/>
        <w:gridCol w:w="1080"/>
        <w:gridCol w:w="1080"/>
        <w:gridCol w:w="1080"/>
      </w:tblGrid>
      <w:tr w:rsidR="002D381E" w:rsidRPr="00E47496" w:rsidTr="009D4790">
        <w:trPr>
          <w:trHeight w:val="336"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b/>
              </w:rPr>
            </w:pPr>
            <w:r w:rsidRPr="00E47496">
              <w:rPr>
                <w:b/>
              </w:rPr>
              <w:t>EXHIBIT 2</w:t>
            </w:r>
          </w:p>
          <w:p w:rsidR="002D381E" w:rsidRPr="00E47496" w:rsidRDefault="002D381E" w:rsidP="009D4790">
            <w:pPr>
              <w:jc w:val="center"/>
              <w:rPr>
                <w:rFonts w:eastAsia="Arial Unicode MS"/>
                <w:b/>
              </w:rPr>
            </w:pPr>
          </w:p>
        </w:tc>
      </w:tr>
      <w:tr w:rsidR="002D381E" w:rsidRPr="00E47496" w:rsidTr="009D4790">
        <w:trPr>
          <w:trHeight w:val="336"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b/>
                <w:bCs/>
              </w:rPr>
            </w:pPr>
            <w:r w:rsidRPr="00E47496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2013</w:t>
            </w:r>
            <w:r w:rsidRPr="00E47496">
              <w:rPr>
                <w:b/>
                <w:bCs/>
              </w:rPr>
              <w:t xml:space="preserve"> Prevailing Primary Premiums</w:t>
            </w:r>
          </w:p>
          <w:p w:rsidR="002D381E" w:rsidRPr="00E47496" w:rsidRDefault="002D381E" w:rsidP="009D4790">
            <w:pPr>
              <w:jc w:val="center"/>
              <w:rPr>
                <w:rFonts w:eastAsia="Arial Unicode MS"/>
                <w:b/>
                <w:bCs/>
              </w:rPr>
            </w:pPr>
            <w:r w:rsidRPr="00E47496">
              <w:rPr>
                <w:b/>
              </w:rPr>
              <w:t xml:space="preserve">Rates for Hospitals, Nursing Homes and </w:t>
            </w:r>
            <w:smartTag w:uri="urn:schemas-microsoft-com:office:smarttags" w:element="place">
              <w:smartTag w:uri="urn:schemas-microsoft-com:office:smarttags" w:element="PlaceName">
                <w:r w:rsidRPr="00E47496">
                  <w:rPr>
                    <w:b/>
                  </w:rPr>
                  <w:t>Primary</w:t>
                </w:r>
              </w:smartTag>
              <w:r w:rsidRPr="00E47496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E47496">
                  <w:rPr>
                    <w:b/>
                  </w:rPr>
                  <w:t>Health</w:t>
                </w:r>
              </w:smartTag>
              <w:r w:rsidRPr="00E47496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E47496">
                  <w:rPr>
                    <w:b/>
                  </w:rPr>
                  <w:t>Centers</w:t>
                </w:r>
              </w:smartTag>
            </w:smartTag>
          </w:p>
        </w:tc>
      </w:tr>
      <w:tr w:rsidR="002D381E" w:rsidRPr="00E47496" w:rsidTr="009D4790">
        <w:trPr>
          <w:trHeight w:val="291"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</w:rPr>
            </w:pP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  <w:b/>
                <w:bCs/>
                <w:smallCaps/>
              </w:rPr>
            </w:pPr>
            <w:r w:rsidRPr="00E47496">
              <w:rPr>
                <w:b/>
                <w:bCs/>
                <w:smallCaps/>
              </w:rPr>
              <w:t>Exposure Base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  <w:b/>
                <w:bCs/>
                <w:smallCaps/>
              </w:rPr>
            </w:pPr>
            <w:r w:rsidRPr="00E47496">
              <w:rPr>
                <w:b/>
                <w:bCs/>
                <w:smallCaps/>
              </w:rPr>
              <w:t>Exposure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  <w:b/>
                <w:smallCaps/>
              </w:rPr>
            </w:pPr>
            <w:smartTag w:uri="urn:schemas-microsoft-com:office:smarttags" w:element="stockticker">
              <w:r w:rsidRPr="00E47496">
                <w:rPr>
                  <w:b/>
                  <w:smallCaps/>
                </w:rPr>
                <w:t>RATE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  <w:b/>
                <w:smallCaps/>
              </w:rPr>
            </w:pPr>
            <w:smartTag w:uri="urn:schemas-microsoft-com:office:smarttags" w:element="stockticker">
              <w:r w:rsidRPr="00E47496">
                <w:rPr>
                  <w:b/>
                  <w:smallCaps/>
                </w:rPr>
                <w:t>RATE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  <w:b/>
                <w:smallCaps/>
              </w:rPr>
            </w:pPr>
            <w:smartTag w:uri="urn:schemas-microsoft-com:office:smarttags" w:element="stockticker">
              <w:r w:rsidRPr="00E47496">
                <w:rPr>
                  <w:b/>
                  <w:smallCaps/>
                </w:rPr>
                <w:t>RATE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  <w:b/>
                <w:smallCaps/>
              </w:rPr>
            </w:pPr>
            <w:smartTag w:uri="urn:schemas-microsoft-com:office:smarttags" w:element="stockticker">
              <w:r w:rsidRPr="00E47496">
                <w:rPr>
                  <w:b/>
                  <w:smallCaps/>
                </w:rPr>
                <w:t>RATE</w:t>
              </w:r>
            </w:smartTag>
            <w:r w:rsidRPr="00E47496">
              <w:rPr>
                <w:b/>
                <w:smallCaps/>
              </w:rPr>
              <w:t xml:space="preserve"> 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rPr>
                <w:rFonts w:eastAsia="Arial Unicode MS"/>
              </w:rPr>
            </w:pPr>
            <w:r w:rsidRPr="00E47496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</w:rPr>
            </w:pPr>
            <w:r w:rsidRPr="00E47496">
              <w:t xml:space="preserve">   Territory </w:t>
            </w:r>
          </w:p>
        </w:tc>
      </w:tr>
      <w:tr w:rsidR="002D381E" w:rsidRPr="00E47496" w:rsidTr="009D4790">
        <w:trPr>
          <w:trHeight w:val="183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rPr>
                <w:rFonts w:eastAsia="Arial Unicode MS"/>
              </w:rPr>
            </w:pPr>
            <w:r w:rsidRPr="00E47496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</w:rPr>
            </w:pPr>
            <w:r w:rsidRPr="00E47496">
              <w:rPr>
                <w:b/>
                <w:bCs/>
              </w:rPr>
              <w:t>HOSPITALS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</w:rPr>
            </w:pPr>
            <w:r w:rsidRPr="00E47496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</w:rPr>
            </w:pPr>
            <w:r w:rsidRPr="00E47496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</w:rPr>
            </w:pPr>
            <w:r w:rsidRPr="00E47496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E47496" w:rsidRDefault="002D381E" w:rsidP="009D4790">
            <w:pPr>
              <w:jc w:val="center"/>
              <w:rPr>
                <w:rFonts w:eastAsia="Arial Unicode MS"/>
              </w:rPr>
            </w:pPr>
            <w:r w:rsidRPr="00E47496">
              <w:t>4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 xml:space="preserve">Per </w:t>
            </w:r>
            <w:proofErr w:type="spellStart"/>
            <w:r w:rsidRPr="00184736">
              <w:t>Occ</w:t>
            </w:r>
            <w:proofErr w:type="spellEnd"/>
            <w:r w:rsidRPr="00184736">
              <w:t xml:space="preserve"> Bed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Hospital (Acute Care)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7,350.52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3,263.62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4,086.88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6,534.62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 xml:space="preserve">Per </w:t>
            </w:r>
            <w:proofErr w:type="spellStart"/>
            <w:r w:rsidRPr="00184736">
              <w:t>Occ</w:t>
            </w:r>
            <w:proofErr w:type="spellEnd"/>
            <w:r w:rsidRPr="00184736">
              <w:t xml:space="preserve"> Bed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Mental Health/Mental Rehabilitation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3,678.41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1,633.22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2,045.19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3,270.10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 xml:space="preserve">Per </w:t>
            </w:r>
            <w:proofErr w:type="spellStart"/>
            <w:r w:rsidRPr="00184736">
              <w:t>Occ</w:t>
            </w:r>
            <w:proofErr w:type="spellEnd"/>
            <w:r w:rsidRPr="00184736">
              <w:t xml:space="preserve"> Bed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Extended Care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327.24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145.29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181.94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290.91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 xml:space="preserve">Per </w:t>
            </w:r>
            <w:proofErr w:type="spellStart"/>
            <w:r w:rsidRPr="00184736">
              <w:t>Occ</w:t>
            </w:r>
            <w:proofErr w:type="spellEnd"/>
            <w:r w:rsidRPr="00184736">
              <w:t xml:space="preserve"> Bed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Outpatient Surgical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7,350.52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3,263.62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4,086.88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6,534.62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 xml:space="preserve">Per </w:t>
            </w:r>
            <w:proofErr w:type="spellStart"/>
            <w:r w:rsidRPr="00184736">
              <w:t>Occ</w:t>
            </w:r>
            <w:proofErr w:type="spellEnd"/>
            <w:r w:rsidRPr="00184736">
              <w:t xml:space="preserve"> Bed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Health Institution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1,472.63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653.84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818.78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1,309.15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Emergency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734.75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326.24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408.52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653.19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Other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293.90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130.49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163.41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261.28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Mental Health/Mental Rehabilitation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183.70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81.55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102.11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163.29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Extended Care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16.31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14.52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Outpatient Surgical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734.75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326.24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408.52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653.19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Health Institution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110.19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48.94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61.28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97.97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Home Health Care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183.70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81.55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102.11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163.29</w:t>
            </w:r>
          </w:p>
        </w:tc>
      </w:tr>
      <w:tr w:rsidR="002D381E" w:rsidRPr="00E47496" w:rsidTr="009D4790">
        <w:trPr>
          <w:trHeight w:val="345"/>
        </w:trPr>
        <w:tc>
          <w:tcPr>
            <w:tcW w:w="10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  <w:b/>
                <w:bCs/>
              </w:rPr>
            </w:pPr>
            <w:r w:rsidRPr="00184736">
              <w:rPr>
                <w:b/>
                <w:bCs/>
              </w:rPr>
              <w:t> </w:t>
            </w:r>
          </w:p>
          <w:p w:rsidR="002D381E" w:rsidRPr="00184736" w:rsidRDefault="002D381E" w:rsidP="009D4790">
            <w:pPr>
              <w:jc w:val="center"/>
              <w:rPr>
                <w:rFonts w:eastAsia="Arial Unicode MS"/>
              </w:rPr>
            </w:pPr>
            <w:r w:rsidRPr="00184736">
              <w:rPr>
                <w:b/>
                <w:bCs/>
              </w:rPr>
              <w:t>NURSING HOMES</w:t>
            </w:r>
            <w:r w:rsidRPr="00184736">
              <w:t> 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Occupied Bed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Convalescent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499.82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221.94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277.92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444.35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Occupied Bed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Skilled Nursing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411.63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182.78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228.87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365.95</w:t>
            </w:r>
          </w:p>
        </w:tc>
      </w:tr>
      <w:tr w:rsidR="002D381E" w:rsidRPr="00E47496" w:rsidTr="009D4790">
        <w:trPr>
          <w:trHeight w:val="312"/>
        </w:trPr>
        <w:tc>
          <w:tcPr>
            <w:tcW w:w="10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81E" w:rsidRDefault="002D381E" w:rsidP="009D4790">
            <w:pPr>
              <w:jc w:val="center"/>
              <w:rPr>
                <w:b/>
                <w:bCs/>
              </w:rPr>
            </w:pPr>
          </w:p>
          <w:p w:rsidR="002D381E" w:rsidRPr="00184736" w:rsidRDefault="002D381E" w:rsidP="009D4790">
            <w:pPr>
              <w:jc w:val="center"/>
              <w:rPr>
                <w:rFonts w:eastAsia="Arial Unicode MS"/>
              </w:rPr>
            </w:pPr>
            <w:r w:rsidRPr="00184736">
              <w:rPr>
                <w:b/>
                <w:bCs/>
              </w:rPr>
              <w:t>PRIMARY HEALTH CENTERS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Emergency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723.01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321.00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402.00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642.75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Other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289.21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128.39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160.80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257.11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Mental Health/Mental Rehabilitation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180.77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80.27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100.51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160.72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rPr>
                <w:rFonts w:eastAsia="Arial Unicode MS"/>
              </w:rPr>
            </w:pPr>
            <w:r w:rsidRPr="00184736">
              <w:t>Per 100 Visits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  <w:rPr>
                <w:rFonts w:eastAsia="Arial Unicode MS"/>
              </w:rPr>
            </w:pPr>
            <w:r w:rsidRPr="00184736">
              <w:t>Outpatient Surgical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723.01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321.00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402.00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</w:rPr>
              <w:t>642.75</w:t>
            </w:r>
          </w:p>
        </w:tc>
      </w:tr>
      <w:tr w:rsidR="002D381E" w:rsidRPr="00E47496" w:rsidTr="009D4790">
        <w:trPr>
          <w:trHeight w:val="432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r w:rsidRPr="00184736">
              <w:t>Per 100 Visits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</w:pPr>
            <w:r w:rsidRPr="00184736">
              <w:t>Home Health Care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180.77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</w:pPr>
            <w:r>
              <w:rPr>
                <w:sz w:val="22"/>
              </w:rPr>
              <w:t>80.27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</w:pPr>
            <w:r>
              <w:rPr>
                <w:sz w:val="22"/>
              </w:rPr>
              <w:t>100.51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jc w:val="right"/>
            </w:pPr>
            <w:r>
              <w:rPr>
                <w:sz w:val="22"/>
              </w:rPr>
              <w:t>160.72</w:t>
            </w:r>
          </w:p>
        </w:tc>
      </w:tr>
      <w:tr w:rsidR="002D381E" w:rsidRPr="00E47496" w:rsidTr="009D4790">
        <w:trPr>
          <w:trHeight w:val="102"/>
        </w:trPr>
        <w:tc>
          <w:tcPr>
            <w:tcW w:w="1995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CC6948" w:rsidP="009D4790">
            <w:r w:rsidRPr="00CC6948">
              <w:rPr>
                <w:rFonts w:ascii="Book Antiqua" w:hAnsi="Book Antiqua" w:cs="Arial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8.25pt;margin-top:2.15pt;width:8in;height:83.15pt;z-index:251660288;mso-position-horizontal-relative:text;mso-position-vertical-relative:text" filled="f" stroked="f">
                  <v:textbox style="mso-next-textbox:#_x0000_s1026">
                    <w:txbxContent>
                      <w:p w:rsidR="002D381E" w:rsidRPr="00966773" w:rsidRDefault="002D381E" w:rsidP="002D381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966773">
                          <w:rPr>
                            <w:sz w:val="20"/>
                            <w:szCs w:val="20"/>
                          </w:rPr>
                          <w:t>Territory 1:  Delaware (23), Philadelphia (51)</w:t>
                        </w:r>
                      </w:p>
                      <w:p w:rsidR="002D381E" w:rsidRPr="00966773" w:rsidRDefault="002D381E" w:rsidP="002D381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966773">
                          <w:rPr>
                            <w:sz w:val="20"/>
                            <w:szCs w:val="20"/>
                          </w:rPr>
                          <w:t>Territory 2:  Remainder of State</w:t>
                        </w:r>
                      </w:p>
                      <w:p w:rsidR="002D381E" w:rsidRPr="00966773" w:rsidRDefault="002D381E" w:rsidP="002D381E">
                        <w:pPr>
                          <w:rPr>
                            <w:sz w:val="20"/>
                            <w:szCs w:val="20"/>
                          </w:rPr>
                        </w:pPr>
                        <w:r w:rsidRPr="00966773">
                          <w:rPr>
                            <w:sz w:val="20"/>
                            <w:szCs w:val="20"/>
                          </w:rPr>
                          <w:t>Territory 3:  Allegheny (02), Crawford (20), Erie (25), Lackawanna (35), Lawrence (37), Luzerne (40), Mercer (43)</w:t>
                        </w:r>
                      </w:p>
                      <w:p w:rsidR="002D381E" w:rsidRDefault="002D381E" w:rsidP="002D381E">
                        <w:pPr>
                          <w:rPr>
                            <w:sz w:val="20"/>
                            <w:szCs w:val="20"/>
                          </w:rPr>
                        </w:pPr>
                        <w:r w:rsidRPr="00966773">
                          <w:rPr>
                            <w:sz w:val="20"/>
                            <w:szCs w:val="20"/>
                          </w:rPr>
                          <w:t>Territory 4:  Bucks (09), Chester (15), Montgomery (46)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0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184736" w:rsidRDefault="002D381E" w:rsidP="009D4790">
            <w:pPr>
              <w:ind w:left="165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63024D" w:rsidRDefault="002D381E" w:rsidP="009D4790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63024D" w:rsidRDefault="002D381E" w:rsidP="009D4790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63024D" w:rsidRDefault="002D381E" w:rsidP="009D4790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81E" w:rsidRPr="0063024D" w:rsidRDefault="002D381E" w:rsidP="009D4790">
            <w:pPr>
              <w:jc w:val="right"/>
            </w:pPr>
          </w:p>
        </w:tc>
      </w:tr>
    </w:tbl>
    <w:p w:rsidR="002D381E" w:rsidRDefault="002D381E" w:rsidP="002D381E">
      <w:pPr>
        <w:pStyle w:val="Title"/>
        <w:rPr>
          <w:b/>
        </w:rPr>
      </w:pPr>
    </w:p>
    <w:p w:rsidR="002D381E" w:rsidRDefault="002D381E" w:rsidP="002D381E">
      <w:pPr>
        <w:pStyle w:val="Title"/>
        <w:rPr>
          <w:b/>
        </w:rPr>
      </w:pPr>
    </w:p>
    <w:p w:rsidR="002D381E" w:rsidRPr="00755E78" w:rsidRDefault="002D381E" w:rsidP="002D381E">
      <w:pPr>
        <w:pStyle w:val="Title"/>
        <w:rPr>
          <w:b/>
        </w:rPr>
      </w:pPr>
    </w:p>
    <w:sectPr w:rsidR="002D381E" w:rsidRPr="00755E78" w:rsidSect="002D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381E"/>
    <w:rsid w:val="00230921"/>
    <w:rsid w:val="002D381E"/>
    <w:rsid w:val="006534FE"/>
    <w:rsid w:val="007C06F1"/>
    <w:rsid w:val="008B6831"/>
    <w:rsid w:val="00A511DE"/>
    <w:rsid w:val="00AA22C0"/>
    <w:rsid w:val="00B125AA"/>
    <w:rsid w:val="00CC6948"/>
    <w:rsid w:val="00F1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1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683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styleId="Title">
    <w:name w:val="Title"/>
    <w:basedOn w:val="Normal"/>
    <w:link w:val="TitleChar"/>
    <w:qFormat/>
    <w:rsid w:val="002D381E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Cs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2D381E"/>
    <w:rPr>
      <w:rFonts w:ascii="Times New Roman" w:eastAsia="Times New Roman" w:hAnsi="Times New Roman" w:cs="Times New Roman"/>
      <w:bCs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C7F84C19BD14BB7B5BD331C4E5C34" ma:contentTypeVersion="4" ma:contentTypeDescription="Create a new document." ma:contentTypeScope="" ma:versionID="628d38edf31a174cd49731d8c94cf4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adead4fc1bbd1a7d6d40bc5f940de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D810A-6221-4462-8016-5CD77C6D540E}"/>
</file>

<file path=customXml/itemProps2.xml><?xml version="1.0" encoding="utf-8"?>
<ds:datastoreItem xmlns:ds="http://schemas.openxmlformats.org/officeDocument/2006/customXml" ds:itemID="{7DCACA5A-0404-4899-BDD8-49932663F2EB}"/>
</file>

<file path=customXml/itemProps3.xml><?xml version="1.0" encoding="utf-8"?>
<ds:datastoreItem xmlns:ds="http://schemas.openxmlformats.org/officeDocument/2006/customXml" ds:itemID="{5E7897B2-C011-4E8C-8B29-EB7B90342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Pennsylvania Insurance Department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sdorazio</dc:creator>
  <cp:keywords/>
  <dc:description/>
  <cp:lastModifiedBy>sdorazio</cp:lastModifiedBy>
  <cp:revision>2</cp:revision>
  <dcterms:created xsi:type="dcterms:W3CDTF">2012-10-31T17:41:00Z</dcterms:created>
  <dcterms:modified xsi:type="dcterms:W3CDTF">2012-10-31T17:41:00Z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0x010100F06C7F84C19BD14BB7B5BD331C4E5C34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SeoBrowserTitle">
    <vt:lpwstr/>
  </property>
  <property fmtid="{D5CDD505-2E9C-101B-9397-08002B2CF9AE}" pid="7" name="SeoKeywords">
    <vt:lpwstr/>
  </property>
  <property fmtid="{D5CDD505-2E9C-101B-9397-08002B2CF9AE}" pid="8" name="Order">
    <vt:r8>93700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xd_Signature">
    <vt:bool>false</vt:bool>
  </property>
  <property fmtid="{D5CDD505-2E9C-101B-9397-08002B2CF9AE}" pid="14" name="PublishingPageImage">
    <vt:lpwstr/>
  </property>
  <property fmtid="{D5CDD505-2E9C-101B-9397-08002B2CF9AE}" pid="15" name="SummaryLinks">
    <vt:lpwstr/>
  </property>
  <property fmtid="{D5CDD505-2E9C-101B-9397-08002B2CF9AE}" pid="16" name="RobotsNoIndex">
    <vt:bool>false</vt:bool>
  </property>
  <property fmtid="{D5CDD505-2E9C-101B-9397-08002B2CF9AE}" pid="17" name="xd_ProgID">
    <vt:lpwstr/>
  </property>
  <property fmtid="{D5CDD505-2E9C-101B-9397-08002B2CF9AE}" pid="18" name="SharedWithUsers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HeaderStyleDefinition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PublishingImageCaption">
    <vt:lpwstr/>
  </property>
  <property fmtid="{D5CDD505-2E9C-101B-9397-08002B2CF9AE}" pid="27" name="PublishingIsFurlPage">
    <vt:bool>false</vt:bool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PublishingContactName">
    <vt:lpwstr/>
  </property>
  <property fmtid="{D5CDD505-2E9C-101B-9397-08002B2CF9AE}" pid="31" name="Comments">
    <vt:lpwstr/>
  </property>
  <property fmtid="{D5CDD505-2E9C-101B-9397-08002B2CF9AE}" pid="32" name="PublishingPageLayout">
    <vt:lpwstr/>
  </property>
</Properties>
</file>