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60975073"/>
        <w:placeholder>
          <w:docPart w:val="C5F221B073E24086B54455FC13A608DF"/>
        </w:placeholder>
        <w:temporary/>
        <w:showingPlcHdr/>
        <w15:appearance w15:val="hidden"/>
      </w:sdtPr>
      <w:sdtEndPr/>
      <w:sdtContent>
        <w:p w14:paraId="79B86EFE" w14:textId="77777777" w:rsidR="00595A29" w:rsidRDefault="00812C84">
          <w:pPr>
            <w:pStyle w:val="Title"/>
          </w:pPr>
          <w:r>
            <w:t>memo</w:t>
          </w:r>
        </w:p>
      </w:sdtContent>
    </w:sdt>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has company name and second table has memo information"/>
      </w:tblPr>
      <w:tblGrid>
        <w:gridCol w:w="8640"/>
      </w:tblGrid>
      <w:tr w:rsidR="00595A29" w14:paraId="5DCB4B2B" w14:textId="77777777" w:rsidTr="00751185">
        <w:trPr>
          <w:trHeight w:val="288"/>
        </w:trPr>
        <w:sdt>
          <w:sdtPr>
            <w:id w:val="183950447"/>
            <w:placeholder>
              <w:docPart w:val="8329138AE66049E2AE4D460CF896E4F6"/>
            </w:placeholder>
            <w:temporary/>
            <w:showingPlcHdr/>
            <w15:appearance w15:val="hidden"/>
          </w:sdtPr>
          <w:sdtEndPr/>
          <w:sdtContent>
            <w:tc>
              <w:tcPr>
                <w:tcW w:w="8640" w:type="dxa"/>
              </w:tcPr>
              <w:p w14:paraId="338704AE" w14:textId="77777777" w:rsidR="00595A29" w:rsidRPr="00812C84" w:rsidRDefault="00812C84" w:rsidP="00812C84">
                <w:pPr>
                  <w:pStyle w:val="Heading1"/>
                  <w:outlineLvl w:val="0"/>
                </w:pPr>
                <w:r w:rsidRPr="00812C84">
                  <w:t>Company name</w:t>
                </w:r>
              </w:p>
            </w:tc>
          </w:sdtContent>
        </w:sdt>
      </w:tr>
    </w:tbl>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104"/>
        <w:gridCol w:w="7536"/>
      </w:tblGrid>
      <w:tr w:rsidR="00595A29" w14:paraId="65A3CDA5" w14:textId="77777777">
        <w:trPr>
          <w:trHeight w:val="32"/>
        </w:trPr>
        <w:sdt>
          <w:sdtPr>
            <w:id w:val="-1849470194"/>
            <w:placeholder>
              <w:docPart w:val="19EBEC5E3111458DA79B2769E178CC54"/>
            </w:placeholder>
            <w:temporary/>
            <w:showingPlcHdr/>
            <w15:appearance w15:val="hidden"/>
          </w:sdtPr>
          <w:sdtEndPr/>
          <w:sdtContent>
            <w:tc>
              <w:tcPr>
                <w:tcW w:w="1104" w:type="dxa"/>
                <w:tcBorders>
                  <w:top w:val="nil"/>
                  <w:bottom w:val="nil"/>
                </w:tcBorders>
              </w:tcPr>
              <w:p w14:paraId="5B0FA728" w14:textId="77777777" w:rsidR="00595A29" w:rsidRDefault="00D77C46">
                <w:pPr>
                  <w:spacing w:after="120" w:line="259" w:lineRule="auto"/>
                </w:pPr>
                <w:r>
                  <w:t>To:</w:t>
                </w:r>
              </w:p>
            </w:tc>
          </w:sdtContent>
        </w:sdt>
        <w:tc>
          <w:tcPr>
            <w:tcW w:w="7536" w:type="dxa"/>
            <w:tcBorders>
              <w:top w:val="nil"/>
              <w:bottom w:val="nil"/>
            </w:tcBorders>
          </w:tcPr>
          <w:p w14:paraId="028C9103" w14:textId="77777777" w:rsidR="00595A29" w:rsidRDefault="00201E9E">
            <w:pPr>
              <w:spacing w:after="120" w:line="259" w:lineRule="auto"/>
            </w:pPr>
            <w:r>
              <w:t>David Buono</w:t>
            </w:r>
          </w:p>
        </w:tc>
      </w:tr>
      <w:tr w:rsidR="00595A29" w14:paraId="7B125DB5" w14:textId="77777777">
        <w:trPr>
          <w:trHeight w:val="37"/>
        </w:trPr>
        <w:tc>
          <w:tcPr>
            <w:tcW w:w="1104" w:type="dxa"/>
            <w:tcBorders>
              <w:top w:val="nil"/>
              <w:bottom w:val="nil"/>
            </w:tcBorders>
          </w:tcPr>
          <w:p w14:paraId="58151D91" w14:textId="77777777" w:rsidR="00595A29" w:rsidRDefault="00171539">
            <w:pPr>
              <w:spacing w:after="120" w:line="259" w:lineRule="auto"/>
            </w:pPr>
            <w:sdt>
              <w:sdtPr>
                <w:id w:val="1202138601"/>
                <w:placeholder>
                  <w:docPart w:val="7573897144004868A21CF21450D16644"/>
                </w:placeholder>
                <w:temporary/>
                <w:showingPlcHdr/>
                <w15:appearance w15:val="hidden"/>
              </w:sdtPr>
              <w:sdtEndPr/>
              <w:sdtContent>
                <w:r w:rsidR="00D77C46">
                  <w:t xml:space="preserve">From: </w:t>
                </w:r>
              </w:sdtContent>
            </w:sdt>
          </w:p>
        </w:tc>
        <w:tc>
          <w:tcPr>
            <w:tcW w:w="7536" w:type="dxa"/>
            <w:tcBorders>
              <w:top w:val="nil"/>
              <w:bottom w:val="nil"/>
            </w:tcBorders>
          </w:tcPr>
          <w:p w14:paraId="3D1C205D" w14:textId="77777777" w:rsidR="00595A29" w:rsidRDefault="00201E9E" w:rsidP="00201E9E">
            <w:pPr>
              <w:spacing w:after="120" w:line="259" w:lineRule="auto"/>
            </w:pPr>
            <w:r>
              <w:t>David Anderson MSPPM, Dr. Coleman Drake, Ph.D</w:t>
            </w:r>
          </w:p>
        </w:tc>
      </w:tr>
      <w:tr w:rsidR="00595A29" w14:paraId="228B5B5C" w14:textId="77777777">
        <w:trPr>
          <w:trHeight w:val="37"/>
        </w:trPr>
        <w:tc>
          <w:tcPr>
            <w:tcW w:w="1104" w:type="dxa"/>
            <w:tcBorders>
              <w:top w:val="nil"/>
              <w:bottom w:val="nil"/>
            </w:tcBorders>
          </w:tcPr>
          <w:p w14:paraId="0AA1E55D" w14:textId="77777777" w:rsidR="00595A29" w:rsidRDefault="00171539">
            <w:pPr>
              <w:spacing w:after="120" w:line="259" w:lineRule="auto"/>
            </w:pPr>
            <w:sdt>
              <w:sdtPr>
                <w:id w:val="656889604"/>
                <w:placeholder>
                  <w:docPart w:val="255B616D77974043958178DDCCE82497"/>
                </w:placeholder>
                <w:temporary/>
                <w:showingPlcHdr/>
                <w15:appearance w15:val="hidden"/>
              </w:sdtPr>
              <w:sdtEndPr/>
              <w:sdtContent>
                <w:r w:rsidR="00D77C46">
                  <w:t>Date:</w:t>
                </w:r>
              </w:sdtContent>
            </w:sdt>
          </w:p>
        </w:tc>
        <w:tc>
          <w:tcPr>
            <w:tcW w:w="7536" w:type="dxa"/>
            <w:tcBorders>
              <w:top w:val="nil"/>
              <w:bottom w:val="nil"/>
            </w:tcBorders>
          </w:tcPr>
          <w:p w14:paraId="7FE8D6F4" w14:textId="317CDC7F" w:rsidR="00595A29" w:rsidRDefault="00455BFB" w:rsidP="005115A1">
            <w:pPr>
              <w:spacing w:after="120" w:line="259" w:lineRule="auto"/>
            </w:pPr>
            <w:r>
              <w:t>December 1, 2019</w:t>
            </w:r>
          </w:p>
        </w:tc>
      </w:tr>
      <w:tr w:rsidR="00595A29" w14:paraId="77DBAB76" w14:textId="77777777">
        <w:tc>
          <w:tcPr>
            <w:tcW w:w="1104" w:type="dxa"/>
            <w:tcBorders>
              <w:top w:val="nil"/>
              <w:bottom w:val="single" w:sz="4" w:space="0" w:color="A6A6A6" w:themeColor="background1" w:themeShade="A6"/>
            </w:tcBorders>
            <w:tcMar>
              <w:bottom w:w="576" w:type="dxa"/>
            </w:tcMar>
          </w:tcPr>
          <w:p w14:paraId="573C90B1" w14:textId="77777777" w:rsidR="00595A29" w:rsidRDefault="00171539">
            <w:pPr>
              <w:spacing w:after="120" w:line="259" w:lineRule="auto"/>
            </w:pPr>
            <w:sdt>
              <w:sdtPr>
                <w:id w:val="-2000876693"/>
                <w:placeholder>
                  <w:docPart w:val="7B55B654863F4FF8BB15C4DA5BE96AE5"/>
                </w:placeholder>
                <w:temporary/>
                <w:showingPlcHdr/>
                <w15:appearance w15:val="hidden"/>
              </w:sdtPr>
              <w:sdtEndPr/>
              <w:sdtContent>
                <w:r w:rsidR="00D77C46">
                  <w:t>Re:</w:t>
                </w:r>
              </w:sdtContent>
            </w:sdt>
          </w:p>
        </w:tc>
        <w:tc>
          <w:tcPr>
            <w:tcW w:w="7536" w:type="dxa"/>
            <w:tcBorders>
              <w:top w:val="nil"/>
              <w:bottom w:val="single" w:sz="4" w:space="0" w:color="A6A6A6" w:themeColor="background1" w:themeShade="A6"/>
            </w:tcBorders>
            <w:tcMar>
              <w:bottom w:w="576" w:type="dxa"/>
            </w:tcMar>
          </w:tcPr>
          <w:p w14:paraId="4987BFF3" w14:textId="77777777" w:rsidR="00595A29" w:rsidRDefault="00201E9E" w:rsidP="00201E9E">
            <w:pPr>
              <w:spacing w:after="120" w:line="259" w:lineRule="auto"/>
            </w:pPr>
            <w:r>
              <w:t>Comments on Pennsylvania 1332 Reinsurance Application</w:t>
            </w:r>
          </w:p>
        </w:tc>
      </w:tr>
    </w:tbl>
    <w:p w14:paraId="414DB412" w14:textId="77777777" w:rsidR="00595A29" w:rsidRPr="006403E6" w:rsidRDefault="00595A29" w:rsidP="006403E6">
      <w:pPr>
        <w:spacing w:line="276" w:lineRule="auto"/>
        <w:rPr>
          <w:rFonts w:ascii="Garamond" w:hAnsi="Garamond"/>
          <w:sz w:val="24"/>
          <w:szCs w:val="24"/>
        </w:rPr>
      </w:pPr>
    </w:p>
    <w:p w14:paraId="5D01E716" w14:textId="7C7B5E86" w:rsidR="00BE56EB" w:rsidRPr="006403E6" w:rsidRDefault="00BE56EB" w:rsidP="006403E6">
      <w:pPr>
        <w:spacing w:line="276" w:lineRule="auto"/>
        <w:rPr>
          <w:rFonts w:ascii="Garamond" w:hAnsi="Garamond"/>
          <w:sz w:val="24"/>
          <w:szCs w:val="24"/>
        </w:rPr>
      </w:pPr>
      <w:r w:rsidRPr="006403E6">
        <w:rPr>
          <w:rFonts w:ascii="Garamond" w:hAnsi="Garamond"/>
          <w:sz w:val="24"/>
          <w:szCs w:val="24"/>
        </w:rPr>
        <w:t xml:space="preserve">This is a public comment for Pennsylvania’s proposed </w:t>
      </w:r>
      <w:r w:rsidR="00F14292" w:rsidRPr="006403E6">
        <w:rPr>
          <w:rFonts w:ascii="Garamond" w:hAnsi="Garamond"/>
          <w:sz w:val="24"/>
          <w:szCs w:val="24"/>
        </w:rPr>
        <w:t>reinsurance waiver through the Affordable Care Act’s Section 1332</w:t>
      </w:r>
      <w:r w:rsidR="009405E7">
        <w:rPr>
          <w:rFonts w:ascii="Garamond" w:hAnsi="Garamond"/>
          <w:sz w:val="24"/>
          <w:szCs w:val="24"/>
        </w:rPr>
        <w:t xml:space="preserve">. </w:t>
      </w:r>
      <w:r w:rsidR="00F14292" w:rsidRPr="006403E6">
        <w:rPr>
          <w:rFonts w:ascii="Garamond" w:hAnsi="Garamond"/>
          <w:sz w:val="24"/>
          <w:szCs w:val="24"/>
        </w:rPr>
        <w:t>Mr. Anderson is a research associate at the Duke University Margolis Center for Health Policy</w:t>
      </w:r>
      <w:r w:rsidR="009405E7">
        <w:rPr>
          <w:rFonts w:ascii="Garamond" w:hAnsi="Garamond"/>
          <w:sz w:val="24"/>
          <w:szCs w:val="24"/>
        </w:rPr>
        <w:t xml:space="preserve">. </w:t>
      </w:r>
      <w:r w:rsidR="00F14292" w:rsidRPr="006403E6">
        <w:rPr>
          <w:rFonts w:ascii="Garamond" w:hAnsi="Garamond"/>
          <w:sz w:val="24"/>
          <w:szCs w:val="24"/>
        </w:rPr>
        <w:t xml:space="preserve">Dr. Drake is an assistant professor of </w:t>
      </w:r>
      <w:r w:rsidR="00B46BD8">
        <w:rPr>
          <w:rFonts w:ascii="Garamond" w:hAnsi="Garamond"/>
          <w:sz w:val="24"/>
          <w:szCs w:val="24"/>
        </w:rPr>
        <w:t>H</w:t>
      </w:r>
      <w:r w:rsidR="00F14292" w:rsidRPr="006403E6">
        <w:rPr>
          <w:rFonts w:ascii="Garamond" w:hAnsi="Garamond"/>
          <w:sz w:val="24"/>
          <w:szCs w:val="24"/>
        </w:rPr>
        <w:t xml:space="preserve">ealth </w:t>
      </w:r>
      <w:r w:rsidR="00B46BD8">
        <w:rPr>
          <w:rFonts w:ascii="Garamond" w:hAnsi="Garamond"/>
          <w:sz w:val="24"/>
          <w:szCs w:val="24"/>
        </w:rPr>
        <w:t>P</w:t>
      </w:r>
      <w:r w:rsidR="00F14292" w:rsidRPr="006403E6">
        <w:rPr>
          <w:rFonts w:ascii="Garamond" w:hAnsi="Garamond"/>
          <w:sz w:val="24"/>
          <w:szCs w:val="24"/>
        </w:rPr>
        <w:t xml:space="preserve">olicy </w:t>
      </w:r>
      <w:r w:rsidR="00B46BD8">
        <w:rPr>
          <w:rFonts w:ascii="Garamond" w:hAnsi="Garamond"/>
          <w:sz w:val="24"/>
          <w:szCs w:val="24"/>
        </w:rPr>
        <w:t xml:space="preserve">and Management </w:t>
      </w:r>
      <w:r w:rsidR="00F14292" w:rsidRPr="006403E6">
        <w:rPr>
          <w:rFonts w:ascii="Garamond" w:hAnsi="Garamond"/>
          <w:sz w:val="24"/>
          <w:szCs w:val="24"/>
        </w:rPr>
        <w:t>at the University of Pittsburgh</w:t>
      </w:r>
      <w:r w:rsidR="00455BFB">
        <w:rPr>
          <w:rFonts w:ascii="Garamond" w:hAnsi="Garamond"/>
          <w:sz w:val="24"/>
          <w:szCs w:val="24"/>
        </w:rPr>
        <w:t>,</w:t>
      </w:r>
      <w:r w:rsidR="00F14292" w:rsidRPr="006403E6">
        <w:rPr>
          <w:rFonts w:ascii="Garamond" w:hAnsi="Garamond"/>
          <w:sz w:val="24"/>
          <w:szCs w:val="24"/>
        </w:rPr>
        <w:t xml:space="preserve"> Graduate School of Public Health</w:t>
      </w:r>
      <w:r w:rsidR="009405E7">
        <w:rPr>
          <w:rFonts w:ascii="Garamond" w:hAnsi="Garamond"/>
          <w:sz w:val="24"/>
          <w:szCs w:val="24"/>
        </w:rPr>
        <w:t xml:space="preserve">. </w:t>
      </w:r>
      <w:r w:rsidR="00F14292" w:rsidRPr="006403E6">
        <w:rPr>
          <w:rFonts w:ascii="Garamond" w:hAnsi="Garamond"/>
          <w:sz w:val="24"/>
          <w:szCs w:val="24"/>
        </w:rPr>
        <w:t>We have written extensively about the Affordable Care Act’s individual market with</w:t>
      </w:r>
      <w:r w:rsidR="00B46BD8">
        <w:rPr>
          <w:rFonts w:ascii="Garamond" w:hAnsi="Garamond"/>
          <w:sz w:val="24"/>
          <w:szCs w:val="24"/>
        </w:rPr>
        <w:t xml:space="preserve"> publications in leading</w:t>
      </w:r>
      <w:r w:rsidR="00F14292" w:rsidRPr="006403E6">
        <w:rPr>
          <w:rFonts w:ascii="Garamond" w:hAnsi="Garamond"/>
          <w:sz w:val="24"/>
          <w:szCs w:val="24"/>
        </w:rPr>
        <w:t xml:space="preserve"> peer</w:t>
      </w:r>
      <w:r w:rsidR="00B46BD8">
        <w:rPr>
          <w:rFonts w:ascii="Garamond" w:hAnsi="Garamond"/>
          <w:sz w:val="24"/>
          <w:szCs w:val="24"/>
        </w:rPr>
        <w:t>-</w:t>
      </w:r>
      <w:r w:rsidR="00F14292" w:rsidRPr="006403E6">
        <w:rPr>
          <w:rFonts w:ascii="Garamond" w:hAnsi="Garamond"/>
          <w:sz w:val="24"/>
          <w:szCs w:val="24"/>
        </w:rPr>
        <w:t xml:space="preserve">reviewed </w:t>
      </w:r>
      <w:r w:rsidR="00B46BD8">
        <w:rPr>
          <w:rFonts w:ascii="Garamond" w:hAnsi="Garamond"/>
          <w:sz w:val="24"/>
          <w:szCs w:val="24"/>
        </w:rPr>
        <w:t>journals such as</w:t>
      </w:r>
      <w:r w:rsidR="00F14292" w:rsidRPr="006403E6">
        <w:rPr>
          <w:rFonts w:ascii="Garamond" w:hAnsi="Garamond"/>
          <w:sz w:val="24"/>
          <w:szCs w:val="24"/>
        </w:rPr>
        <w:t xml:space="preserve"> </w:t>
      </w:r>
      <w:r w:rsidR="00F14292" w:rsidRPr="006403E6">
        <w:rPr>
          <w:rFonts w:ascii="Garamond" w:hAnsi="Garamond"/>
          <w:i/>
          <w:sz w:val="24"/>
          <w:szCs w:val="24"/>
        </w:rPr>
        <w:t>JAMA Internal Medicine, Health Affairs, Health Services Research, The Journal of Rural Health</w:t>
      </w:r>
      <w:r w:rsidR="00B46BD8">
        <w:rPr>
          <w:rFonts w:ascii="Garamond" w:hAnsi="Garamond"/>
          <w:iCs/>
          <w:sz w:val="24"/>
          <w:szCs w:val="24"/>
        </w:rPr>
        <w:t>,</w:t>
      </w:r>
      <w:r w:rsidR="00F14292" w:rsidRPr="006403E6">
        <w:rPr>
          <w:rFonts w:ascii="Garamond" w:hAnsi="Garamond"/>
          <w:i/>
          <w:sz w:val="24"/>
          <w:szCs w:val="24"/>
        </w:rPr>
        <w:t xml:space="preserve"> </w:t>
      </w:r>
      <w:r w:rsidR="00F14292" w:rsidRPr="006403E6">
        <w:rPr>
          <w:rFonts w:ascii="Garamond" w:hAnsi="Garamond"/>
          <w:sz w:val="24"/>
          <w:szCs w:val="24"/>
        </w:rPr>
        <w:t xml:space="preserve">and </w:t>
      </w:r>
      <w:r w:rsidR="00F14292" w:rsidRPr="006403E6">
        <w:rPr>
          <w:rFonts w:ascii="Garamond" w:hAnsi="Garamond"/>
          <w:i/>
          <w:sz w:val="24"/>
          <w:szCs w:val="24"/>
        </w:rPr>
        <w:t>Journal of Health Economics</w:t>
      </w:r>
      <w:r w:rsidR="00B46BD8">
        <w:rPr>
          <w:rFonts w:ascii="Garamond" w:hAnsi="Garamond"/>
          <w:iCs/>
          <w:sz w:val="24"/>
          <w:szCs w:val="24"/>
        </w:rPr>
        <w:t xml:space="preserve">. We also have written about the Affordable Care Act </w:t>
      </w:r>
      <w:r w:rsidR="00F14292" w:rsidRPr="006403E6">
        <w:rPr>
          <w:rFonts w:ascii="Garamond" w:hAnsi="Garamond"/>
          <w:sz w:val="24"/>
          <w:szCs w:val="24"/>
        </w:rPr>
        <w:t xml:space="preserve">other </w:t>
      </w:r>
      <w:r w:rsidR="00B46BD8">
        <w:rPr>
          <w:rFonts w:ascii="Garamond" w:hAnsi="Garamond"/>
          <w:sz w:val="24"/>
          <w:szCs w:val="24"/>
        </w:rPr>
        <w:t>publications, such as</w:t>
      </w:r>
      <w:r w:rsidR="00F14292" w:rsidRPr="006403E6">
        <w:rPr>
          <w:rFonts w:ascii="Garamond" w:hAnsi="Garamond"/>
          <w:sz w:val="24"/>
          <w:szCs w:val="24"/>
        </w:rPr>
        <w:t xml:space="preserve"> </w:t>
      </w:r>
      <w:r w:rsidR="00B46BD8" w:rsidRPr="00CB7D0B">
        <w:rPr>
          <w:rFonts w:ascii="Garamond" w:hAnsi="Garamond"/>
          <w:i/>
          <w:iCs/>
          <w:sz w:val="24"/>
          <w:szCs w:val="24"/>
        </w:rPr>
        <w:t>T</w:t>
      </w:r>
      <w:r w:rsidR="00F14292" w:rsidRPr="00CB7D0B">
        <w:rPr>
          <w:rFonts w:ascii="Garamond" w:hAnsi="Garamond"/>
          <w:i/>
          <w:iCs/>
          <w:sz w:val="24"/>
          <w:szCs w:val="24"/>
        </w:rPr>
        <w:t>he New York Times</w:t>
      </w:r>
      <w:r w:rsidR="00F14292" w:rsidRPr="006403E6">
        <w:rPr>
          <w:rFonts w:ascii="Garamond" w:hAnsi="Garamond"/>
          <w:sz w:val="24"/>
          <w:szCs w:val="24"/>
        </w:rPr>
        <w:t xml:space="preserve">, </w:t>
      </w:r>
      <w:r w:rsidR="00455BFB" w:rsidRPr="00455BFB">
        <w:rPr>
          <w:rFonts w:ascii="Garamond" w:hAnsi="Garamond"/>
          <w:i/>
          <w:sz w:val="24"/>
          <w:szCs w:val="24"/>
        </w:rPr>
        <w:t>Health Affairs Blog</w:t>
      </w:r>
      <w:r w:rsidR="00455BFB">
        <w:rPr>
          <w:rFonts w:ascii="Garamond" w:hAnsi="Garamond"/>
          <w:sz w:val="24"/>
          <w:szCs w:val="24"/>
        </w:rPr>
        <w:t xml:space="preserve">, </w:t>
      </w:r>
      <w:r w:rsidR="00F14292" w:rsidRPr="00CB7D0B">
        <w:rPr>
          <w:rFonts w:ascii="Garamond" w:hAnsi="Garamond"/>
          <w:i/>
          <w:iCs/>
          <w:sz w:val="24"/>
          <w:szCs w:val="24"/>
        </w:rPr>
        <w:t>Stat</w:t>
      </w:r>
      <w:r w:rsidR="00F14292" w:rsidRPr="006403E6">
        <w:rPr>
          <w:rFonts w:ascii="Garamond" w:hAnsi="Garamond"/>
          <w:sz w:val="24"/>
          <w:szCs w:val="24"/>
        </w:rPr>
        <w:t xml:space="preserve">, </w:t>
      </w:r>
      <w:r w:rsidR="00B46BD8">
        <w:rPr>
          <w:rFonts w:ascii="Garamond" w:hAnsi="Garamond"/>
          <w:sz w:val="24"/>
          <w:szCs w:val="24"/>
        </w:rPr>
        <w:t xml:space="preserve">and </w:t>
      </w:r>
      <w:r w:rsidR="00F14292" w:rsidRPr="00CB7D0B">
        <w:rPr>
          <w:rFonts w:ascii="Garamond" w:hAnsi="Garamond"/>
          <w:i/>
          <w:iCs/>
          <w:sz w:val="24"/>
          <w:szCs w:val="24"/>
        </w:rPr>
        <w:t>Morning Consult</w:t>
      </w:r>
      <w:r w:rsidR="009405E7">
        <w:rPr>
          <w:rFonts w:ascii="Garamond" w:hAnsi="Garamond"/>
          <w:sz w:val="24"/>
          <w:szCs w:val="24"/>
        </w:rPr>
        <w:t xml:space="preserve">. </w:t>
      </w:r>
    </w:p>
    <w:p w14:paraId="2D0B1AF3" w14:textId="1E9592D5" w:rsidR="00F14292" w:rsidRPr="006403E6" w:rsidRDefault="00F14292" w:rsidP="006403E6">
      <w:pPr>
        <w:spacing w:line="276" w:lineRule="auto"/>
        <w:rPr>
          <w:rFonts w:ascii="Garamond" w:hAnsi="Garamond"/>
          <w:sz w:val="24"/>
          <w:szCs w:val="24"/>
        </w:rPr>
      </w:pPr>
      <w:r w:rsidRPr="006403E6">
        <w:rPr>
          <w:rFonts w:ascii="Garamond" w:hAnsi="Garamond"/>
          <w:sz w:val="24"/>
          <w:szCs w:val="24"/>
        </w:rPr>
        <w:t>We have two concerns with the proposed waiver that the Commonwealth of Pennsylvania has drafted</w:t>
      </w:r>
      <w:r w:rsidR="009405E7">
        <w:rPr>
          <w:rFonts w:ascii="Garamond" w:hAnsi="Garamond"/>
          <w:sz w:val="24"/>
          <w:szCs w:val="24"/>
        </w:rPr>
        <w:t xml:space="preserve">. </w:t>
      </w:r>
      <w:r w:rsidRPr="006403E6">
        <w:rPr>
          <w:rFonts w:ascii="Garamond" w:hAnsi="Garamond"/>
          <w:sz w:val="24"/>
          <w:szCs w:val="24"/>
        </w:rPr>
        <w:t xml:space="preserve">First, we believe that the </w:t>
      </w:r>
      <w:r w:rsidR="00B46BD8">
        <w:rPr>
          <w:rFonts w:ascii="Garamond" w:hAnsi="Garamond"/>
          <w:sz w:val="24"/>
          <w:szCs w:val="24"/>
        </w:rPr>
        <w:t>C</w:t>
      </w:r>
      <w:r w:rsidRPr="006403E6">
        <w:rPr>
          <w:rFonts w:ascii="Garamond" w:hAnsi="Garamond"/>
          <w:sz w:val="24"/>
          <w:szCs w:val="24"/>
        </w:rPr>
        <w:t>ommonwealth should consider a state</w:t>
      </w:r>
      <w:r w:rsidR="00B46BD8">
        <w:rPr>
          <w:rFonts w:ascii="Garamond" w:hAnsi="Garamond"/>
          <w:sz w:val="24"/>
          <w:szCs w:val="24"/>
        </w:rPr>
        <w:t>-</w:t>
      </w:r>
      <w:r w:rsidRPr="006403E6">
        <w:rPr>
          <w:rFonts w:ascii="Garamond" w:hAnsi="Garamond"/>
          <w:sz w:val="24"/>
          <w:szCs w:val="24"/>
        </w:rPr>
        <w:t>specific risk</w:t>
      </w:r>
      <w:r w:rsidR="00B46BD8">
        <w:rPr>
          <w:rFonts w:ascii="Garamond" w:hAnsi="Garamond"/>
          <w:sz w:val="24"/>
          <w:szCs w:val="24"/>
        </w:rPr>
        <w:t>-</w:t>
      </w:r>
      <w:r w:rsidRPr="006403E6">
        <w:rPr>
          <w:rFonts w:ascii="Garamond" w:hAnsi="Garamond"/>
          <w:sz w:val="24"/>
          <w:szCs w:val="24"/>
        </w:rPr>
        <w:t>adjustment system once the waiver has been adopted</w:t>
      </w:r>
      <w:r w:rsidR="009405E7">
        <w:rPr>
          <w:rFonts w:ascii="Garamond" w:hAnsi="Garamond"/>
          <w:sz w:val="24"/>
          <w:szCs w:val="24"/>
        </w:rPr>
        <w:t xml:space="preserve">. </w:t>
      </w:r>
      <w:r w:rsidR="00B46BD8">
        <w:rPr>
          <w:rFonts w:ascii="Garamond" w:hAnsi="Garamond"/>
          <w:sz w:val="24"/>
          <w:szCs w:val="24"/>
        </w:rPr>
        <w:t xml:space="preserve">Not doing so </w:t>
      </w:r>
      <w:r w:rsidRPr="006403E6">
        <w:rPr>
          <w:rFonts w:ascii="Garamond" w:hAnsi="Garamond"/>
          <w:sz w:val="24"/>
          <w:szCs w:val="24"/>
        </w:rPr>
        <w:t xml:space="preserve">will </w:t>
      </w:r>
      <w:r w:rsidR="00B46BD8">
        <w:rPr>
          <w:rFonts w:ascii="Garamond" w:hAnsi="Garamond"/>
          <w:sz w:val="24"/>
          <w:szCs w:val="24"/>
        </w:rPr>
        <w:t>cause</w:t>
      </w:r>
      <w:r w:rsidRPr="006403E6">
        <w:rPr>
          <w:rFonts w:ascii="Garamond" w:hAnsi="Garamond"/>
          <w:sz w:val="24"/>
          <w:szCs w:val="24"/>
        </w:rPr>
        <w:t xml:space="preserve"> </w:t>
      </w:r>
      <w:r w:rsidR="0067221F" w:rsidRPr="006403E6">
        <w:rPr>
          <w:rFonts w:ascii="Garamond" w:hAnsi="Garamond"/>
          <w:sz w:val="24"/>
          <w:szCs w:val="24"/>
        </w:rPr>
        <w:t xml:space="preserve">some insurers </w:t>
      </w:r>
      <w:r w:rsidR="00B46BD8">
        <w:rPr>
          <w:rFonts w:ascii="Garamond" w:hAnsi="Garamond"/>
          <w:sz w:val="24"/>
          <w:szCs w:val="24"/>
        </w:rPr>
        <w:t>to effectively be paid twice for the risk they assume for some of their enrollees</w:t>
      </w:r>
      <w:r w:rsidR="009405E7">
        <w:rPr>
          <w:rFonts w:ascii="Garamond" w:hAnsi="Garamond"/>
          <w:sz w:val="24"/>
          <w:szCs w:val="24"/>
        </w:rPr>
        <w:t xml:space="preserve">. </w:t>
      </w:r>
      <w:r w:rsidR="0067221F" w:rsidRPr="006403E6">
        <w:rPr>
          <w:rFonts w:ascii="Garamond" w:hAnsi="Garamond"/>
          <w:sz w:val="24"/>
          <w:szCs w:val="24"/>
        </w:rPr>
        <w:t>Secondly,</w:t>
      </w:r>
      <w:r w:rsidR="00B46BD8">
        <w:rPr>
          <w:rFonts w:ascii="Garamond" w:hAnsi="Garamond"/>
          <w:sz w:val="24"/>
          <w:szCs w:val="24"/>
        </w:rPr>
        <w:t xml:space="preserve"> </w:t>
      </w:r>
      <w:r w:rsidR="0067221F" w:rsidRPr="006403E6">
        <w:rPr>
          <w:rFonts w:ascii="Garamond" w:hAnsi="Garamond"/>
          <w:sz w:val="24"/>
          <w:szCs w:val="24"/>
        </w:rPr>
        <w:t xml:space="preserve">the projection that this reinsurance waiver will have no effect on the enrollment levels of the subsidized </w:t>
      </w:r>
      <w:r w:rsidR="00B46BD8">
        <w:rPr>
          <w:rFonts w:ascii="Garamond" w:hAnsi="Garamond"/>
          <w:sz w:val="24"/>
          <w:szCs w:val="24"/>
        </w:rPr>
        <w:t xml:space="preserve">Marketplace </w:t>
      </w:r>
      <w:r w:rsidR="0067221F" w:rsidRPr="006403E6">
        <w:rPr>
          <w:rFonts w:ascii="Garamond" w:hAnsi="Garamond"/>
          <w:sz w:val="24"/>
          <w:szCs w:val="24"/>
        </w:rPr>
        <w:t>population i</w:t>
      </w:r>
      <w:r w:rsidR="00B46BD8">
        <w:rPr>
          <w:rFonts w:ascii="Garamond" w:hAnsi="Garamond"/>
          <w:sz w:val="24"/>
          <w:szCs w:val="24"/>
        </w:rPr>
        <w:t xml:space="preserve">s wrong because reinsurance will alter </w:t>
      </w:r>
      <w:r w:rsidR="009405E7">
        <w:rPr>
          <w:rFonts w:ascii="Garamond" w:hAnsi="Garamond"/>
          <w:sz w:val="24"/>
          <w:szCs w:val="24"/>
        </w:rPr>
        <w:t>net</w:t>
      </w:r>
      <w:r w:rsidR="00B46BD8">
        <w:rPr>
          <w:rFonts w:ascii="Garamond" w:hAnsi="Garamond"/>
          <w:sz w:val="24"/>
          <w:szCs w:val="24"/>
        </w:rPr>
        <w:t xml:space="preserve"> premiums</w:t>
      </w:r>
      <w:r w:rsidR="0067221F" w:rsidRPr="006403E6">
        <w:rPr>
          <w:rFonts w:ascii="Garamond" w:hAnsi="Garamond"/>
          <w:sz w:val="24"/>
          <w:szCs w:val="24"/>
        </w:rPr>
        <w:t>.</w:t>
      </w:r>
    </w:p>
    <w:p w14:paraId="04D2D7B2" w14:textId="1762BEA5" w:rsidR="00CB7D0B" w:rsidRPr="006403E6" w:rsidRDefault="00CB7D0B" w:rsidP="006403E6">
      <w:pPr>
        <w:spacing w:line="276" w:lineRule="auto"/>
        <w:rPr>
          <w:rFonts w:ascii="Garamond" w:hAnsi="Garamond"/>
          <w:sz w:val="24"/>
          <w:szCs w:val="24"/>
        </w:rPr>
      </w:pPr>
      <w:r>
        <w:rPr>
          <w:rFonts w:ascii="Garamond" w:hAnsi="Garamond"/>
          <w:sz w:val="24"/>
          <w:szCs w:val="24"/>
        </w:rPr>
        <w:t xml:space="preserve">Risk adjustment is designed to lead insurers to be risk agnostic. </w:t>
      </w:r>
      <w:r w:rsidR="0067221F" w:rsidRPr="006403E6">
        <w:rPr>
          <w:rFonts w:ascii="Garamond" w:hAnsi="Garamond"/>
          <w:sz w:val="24"/>
          <w:szCs w:val="24"/>
        </w:rPr>
        <w:t>The current risk adjustment system used by the Center for Medicare and Medicaid Services is similar in some aspects to the CDPS risk adjustment system used by the Pennsylvania Department of Health and Human Services for Medical Assistance</w:t>
      </w:r>
      <w:r w:rsidR="009405E7">
        <w:rPr>
          <w:rFonts w:ascii="Garamond" w:hAnsi="Garamond"/>
          <w:sz w:val="24"/>
          <w:szCs w:val="24"/>
        </w:rPr>
        <w:t xml:space="preserve">. </w:t>
      </w:r>
      <w:r w:rsidR="0067221F" w:rsidRPr="006403E6">
        <w:rPr>
          <w:rFonts w:ascii="Garamond" w:hAnsi="Garamond"/>
          <w:sz w:val="24"/>
          <w:szCs w:val="24"/>
        </w:rPr>
        <w:t>In both cases, risk scores are associated with demographic and clinical diagnosis codes of covered individuals</w:t>
      </w:r>
      <w:r w:rsidR="009405E7">
        <w:rPr>
          <w:rFonts w:ascii="Garamond" w:hAnsi="Garamond"/>
          <w:sz w:val="24"/>
          <w:szCs w:val="24"/>
        </w:rPr>
        <w:t xml:space="preserve">. </w:t>
      </w:r>
      <w:r w:rsidR="0067221F" w:rsidRPr="006403E6">
        <w:rPr>
          <w:rFonts w:ascii="Garamond" w:hAnsi="Garamond"/>
          <w:sz w:val="24"/>
          <w:szCs w:val="24"/>
        </w:rPr>
        <w:t xml:space="preserve">The risk scores are summed and then averaged for each insurer before being normalized across </w:t>
      </w:r>
      <w:r w:rsidR="003D442B" w:rsidRPr="006403E6">
        <w:rPr>
          <w:rFonts w:ascii="Garamond" w:hAnsi="Garamond"/>
          <w:sz w:val="24"/>
          <w:szCs w:val="24"/>
        </w:rPr>
        <w:t>the risk pool’s average risk</w:t>
      </w:r>
      <w:r w:rsidR="009405E7">
        <w:rPr>
          <w:rFonts w:ascii="Garamond" w:hAnsi="Garamond"/>
          <w:sz w:val="24"/>
          <w:szCs w:val="24"/>
        </w:rPr>
        <w:t xml:space="preserve">. </w:t>
      </w:r>
      <w:r w:rsidR="003D442B" w:rsidRPr="006403E6">
        <w:rPr>
          <w:rFonts w:ascii="Garamond" w:hAnsi="Garamond"/>
          <w:sz w:val="24"/>
          <w:szCs w:val="24"/>
        </w:rPr>
        <w:t xml:space="preserve">Funds are then transferred from insurers that </w:t>
      </w:r>
      <w:r w:rsidR="00B46BD8">
        <w:rPr>
          <w:rFonts w:ascii="Garamond" w:hAnsi="Garamond"/>
          <w:sz w:val="24"/>
          <w:szCs w:val="24"/>
        </w:rPr>
        <w:t xml:space="preserve">assume below-average risk to insurers that assume above-average risk. </w:t>
      </w:r>
    </w:p>
    <w:p w14:paraId="3DFEDC5A" w14:textId="5B1FFB21" w:rsidR="00A92EE9" w:rsidRPr="006403E6" w:rsidRDefault="003D442B" w:rsidP="006403E6">
      <w:pPr>
        <w:spacing w:line="276" w:lineRule="auto"/>
        <w:rPr>
          <w:rFonts w:ascii="Garamond" w:hAnsi="Garamond"/>
          <w:sz w:val="24"/>
          <w:szCs w:val="24"/>
        </w:rPr>
      </w:pPr>
      <w:r w:rsidRPr="006403E6">
        <w:rPr>
          <w:rFonts w:ascii="Garamond" w:hAnsi="Garamond"/>
          <w:sz w:val="24"/>
          <w:szCs w:val="24"/>
        </w:rPr>
        <w:t>Pennsylvania is proposing a “caliper” approach to reinsurance with an attachment point below which claims are not eligible for reinsurance</w:t>
      </w:r>
      <w:r w:rsidR="00B46BD8">
        <w:rPr>
          <w:rFonts w:ascii="Garamond" w:hAnsi="Garamond"/>
          <w:sz w:val="24"/>
          <w:szCs w:val="24"/>
        </w:rPr>
        <w:t>, as well as</w:t>
      </w:r>
      <w:r w:rsidRPr="006403E6">
        <w:rPr>
          <w:rFonts w:ascii="Garamond" w:hAnsi="Garamond"/>
          <w:sz w:val="24"/>
          <w:szCs w:val="24"/>
        </w:rPr>
        <w:t xml:space="preserve"> a reinsurance cap, above which claims are not eligible for further reinsurance</w:t>
      </w:r>
      <w:r w:rsidR="009405E7">
        <w:rPr>
          <w:rFonts w:ascii="Garamond" w:hAnsi="Garamond"/>
          <w:sz w:val="24"/>
          <w:szCs w:val="24"/>
        </w:rPr>
        <w:t xml:space="preserve">. </w:t>
      </w:r>
      <w:r w:rsidRPr="006403E6">
        <w:rPr>
          <w:rFonts w:ascii="Garamond" w:hAnsi="Garamond"/>
          <w:sz w:val="24"/>
          <w:szCs w:val="24"/>
        </w:rPr>
        <w:t xml:space="preserve">Pennsylvania will pay a proportion of the </w:t>
      </w:r>
      <w:r w:rsidRPr="006403E6">
        <w:rPr>
          <w:rFonts w:ascii="Garamond" w:hAnsi="Garamond"/>
          <w:sz w:val="24"/>
          <w:szCs w:val="24"/>
        </w:rPr>
        <w:lastRenderedPageBreak/>
        <w:t>claims cost that lie between the attachment point and the reinsurance cap</w:t>
      </w:r>
      <w:r w:rsidR="009405E7">
        <w:rPr>
          <w:rFonts w:ascii="Garamond" w:hAnsi="Garamond"/>
          <w:sz w:val="24"/>
          <w:szCs w:val="24"/>
        </w:rPr>
        <w:t xml:space="preserve">. </w:t>
      </w:r>
      <w:r w:rsidRPr="006403E6">
        <w:rPr>
          <w:rFonts w:ascii="Garamond" w:hAnsi="Garamond"/>
          <w:sz w:val="24"/>
          <w:szCs w:val="24"/>
        </w:rPr>
        <w:t>A significant proportion of the individuals who</w:t>
      </w:r>
      <w:r w:rsidR="00B46BD8">
        <w:rPr>
          <w:rFonts w:ascii="Garamond" w:hAnsi="Garamond"/>
          <w:sz w:val="24"/>
          <w:szCs w:val="24"/>
        </w:rPr>
        <w:t xml:space="preserve">se claims costs will quality their insurers for reinsurance payments </w:t>
      </w:r>
      <w:r w:rsidRPr="006403E6">
        <w:rPr>
          <w:rFonts w:ascii="Garamond" w:hAnsi="Garamond"/>
          <w:sz w:val="24"/>
          <w:szCs w:val="24"/>
        </w:rPr>
        <w:t>will also have higher than average risk scores</w:t>
      </w:r>
      <w:r w:rsidR="009405E7">
        <w:rPr>
          <w:rFonts w:ascii="Garamond" w:hAnsi="Garamond"/>
          <w:sz w:val="24"/>
          <w:szCs w:val="24"/>
        </w:rPr>
        <w:t xml:space="preserve">. </w:t>
      </w:r>
    </w:p>
    <w:p w14:paraId="75584321" w14:textId="417FC28E" w:rsidR="003D442B" w:rsidRPr="006403E6" w:rsidRDefault="00B46BD8" w:rsidP="006403E6">
      <w:pPr>
        <w:spacing w:line="276" w:lineRule="auto"/>
        <w:rPr>
          <w:rFonts w:ascii="Garamond" w:hAnsi="Garamond"/>
          <w:sz w:val="24"/>
          <w:szCs w:val="24"/>
        </w:rPr>
      </w:pPr>
      <w:r>
        <w:rPr>
          <w:rFonts w:ascii="Garamond" w:hAnsi="Garamond"/>
          <w:sz w:val="24"/>
          <w:szCs w:val="24"/>
        </w:rPr>
        <w:t>T</w:t>
      </w:r>
      <w:r w:rsidR="003D442B" w:rsidRPr="006403E6">
        <w:rPr>
          <w:rFonts w:ascii="Garamond" w:hAnsi="Garamond"/>
          <w:sz w:val="24"/>
          <w:szCs w:val="24"/>
        </w:rPr>
        <w:t>hree different insurers could have the same average risk score</w:t>
      </w:r>
      <w:r w:rsidR="009405E7">
        <w:rPr>
          <w:rFonts w:ascii="Garamond" w:hAnsi="Garamond"/>
          <w:sz w:val="24"/>
          <w:szCs w:val="24"/>
        </w:rPr>
        <w:t xml:space="preserve"> u</w:t>
      </w:r>
      <w:r w:rsidR="009405E7" w:rsidRPr="006403E6">
        <w:rPr>
          <w:rFonts w:ascii="Garamond" w:hAnsi="Garamond"/>
          <w:sz w:val="24"/>
          <w:szCs w:val="24"/>
        </w:rPr>
        <w:t>nder the current risk adjustment system</w:t>
      </w:r>
      <w:r w:rsidR="009405E7">
        <w:rPr>
          <w:rFonts w:ascii="Garamond" w:hAnsi="Garamond"/>
          <w:sz w:val="24"/>
          <w:szCs w:val="24"/>
        </w:rPr>
        <w:t xml:space="preserve"> administered by CMS. </w:t>
      </w:r>
      <w:r w:rsidR="003D442B" w:rsidRPr="006403E6">
        <w:rPr>
          <w:rFonts w:ascii="Garamond" w:hAnsi="Garamond"/>
          <w:sz w:val="24"/>
          <w:szCs w:val="24"/>
        </w:rPr>
        <w:t xml:space="preserve">The first insurer could </w:t>
      </w:r>
      <w:r w:rsidR="009405E7">
        <w:rPr>
          <w:rFonts w:ascii="Garamond" w:hAnsi="Garamond"/>
          <w:sz w:val="24"/>
          <w:szCs w:val="24"/>
        </w:rPr>
        <w:t>cover</w:t>
      </w:r>
      <w:r w:rsidR="003D442B" w:rsidRPr="006403E6">
        <w:rPr>
          <w:rFonts w:ascii="Garamond" w:hAnsi="Garamond"/>
          <w:sz w:val="24"/>
          <w:szCs w:val="24"/>
        </w:rPr>
        <w:t xml:space="preserve"> a population </w:t>
      </w:r>
      <w:r w:rsidR="009405E7">
        <w:rPr>
          <w:rFonts w:ascii="Garamond" w:hAnsi="Garamond"/>
          <w:sz w:val="24"/>
          <w:szCs w:val="24"/>
        </w:rPr>
        <w:t>with</w:t>
      </w:r>
      <w:r w:rsidR="003D442B" w:rsidRPr="006403E6">
        <w:rPr>
          <w:rFonts w:ascii="Garamond" w:hAnsi="Garamond"/>
          <w:sz w:val="24"/>
          <w:szCs w:val="24"/>
        </w:rPr>
        <w:t xml:space="preserve"> </w:t>
      </w:r>
      <w:r w:rsidR="009405E7">
        <w:rPr>
          <w:rFonts w:ascii="Garamond" w:hAnsi="Garamond"/>
          <w:sz w:val="24"/>
          <w:szCs w:val="24"/>
        </w:rPr>
        <w:t>many</w:t>
      </w:r>
      <w:r w:rsidR="009405E7" w:rsidRPr="006403E6">
        <w:rPr>
          <w:rFonts w:ascii="Garamond" w:hAnsi="Garamond"/>
          <w:sz w:val="24"/>
          <w:szCs w:val="24"/>
        </w:rPr>
        <w:t xml:space="preserve"> </w:t>
      </w:r>
      <w:r w:rsidR="003D442B" w:rsidRPr="006403E6">
        <w:rPr>
          <w:rFonts w:ascii="Garamond" w:hAnsi="Garamond"/>
          <w:sz w:val="24"/>
          <w:szCs w:val="24"/>
        </w:rPr>
        <w:t>low</w:t>
      </w:r>
      <w:r w:rsidR="009405E7">
        <w:rPr>
          <w:rFonts w:ascii="Garamond" w:hAnsi="Garamond"/>
          <w:sz w:val="24"/>
          <w:szCs w:val="24"/>
        </w:rPr>
        <w:t>-</w:t>
      </w:r>
      <w:r w:rsidR="003D442B" w:rsidRPr="006403E6">
        <w:rPr>
          <w:rFonts w:ascii="Garamond" w:hAnsi="Garamond"/>
          <w:sz w:val="24"/>
          <w:szCs w:val="24"/>
        </w:rPr>
        <w:t>cost chronic conditions, none of which will ever qualify an individual for reinsurance</w:t>
      </w:r>
      <w:r w:rsidR="009405E7">
        <w:rPr>
          <w:rFonts w:ascii="Garamond" w:hAnsi="Garamond"/>
          <w:sz w:val="24"/>
          <w:szCs w:val="24"/>
        </w:rPr>
        <w:t xml:space="preserve">. </w:t>
      </w:r>
      <w:r w:rsidR="003D442B" w:rsidRPr="006403E6">
        <w:rPr>
          <w:rFonts w:ascii="Garamond" w:hAnsi="Garamond"/>
          <w:sz w:val="24"/>
          <w:szCs w:val="24"/>
        </w:rPr>
        <w:t xml:space="preserve">The second insurer could cover </w:t>
      </w:r>
      <w:r w:rsidR="009405E7">
        <w:rPr>
          <w:rFonts w:ascii="Garamond" w:hAnsi="Garamond"/>
          <w:sz w:val="24"/>
          <w:szCs w:val="24"/>
        </w:rPr>
        <w:t xml:space="preserve">enrollees that are </w:t>
      </w:r>
      <w:r w:rsidR="003D442B" w:rsidRPr="006403E6">
        <w:rPr>
          <w:rFonts w:ascii="Garamond" w:hAnsi="Garamond"/>
          <w:sz w:val="24"/>
          <w:szCs w:val="24"/>
        </w:rPr>
        <w:t xml:space="preserve">mostly healthy with no chronic </w:t>
      </w:r>
      <w:r w:rsidR="009405E7" w:rsidRPr="006403E6">
        <w:rPr>
          <w:rFonts w:ascii="Garamond" w:hAnsi="Garamond"/>
          <w:sz w:val="24"/>
          <w:szCs w:val="24"/>
        </w:rPr>
        <w:t>conditions</w:t>
      </w:r>
      <w:r w:rsidR="009405E7">
        <w:rPr>
          <w:rFonts w:ascii="Garamond" w:hAnsi="Garamond"/>
          <w:sz w:val="24"/>
          <w:szCs w:val="24"/>
        </w:rPr>
        <w:t xml:space="preserve"> and</w:t>
      </w:r>
      <w:r w:rsidR="003D442B" w:rsidRPr="006403E6">
        <w:rPr>
          <w:rFonts w:ascii="Garamond" w:hAnsi="Garamond"/>
          <w:sz w:val="24"/>
          <w:szCs w:val="24"/>
        </w:rPr>
        <w:t xml:space="preserve"> a modest number of </w:t>
      </w:r>
      <w:r w:rsidR="009405E7">
        <w:rPr>
          <w:rFonts w:ascii="Garamond" w:hAnsi="Garamond"/>
          <w:sz w:val="24"/>
          <w:szCs w:val="24"/>
        </w:rPr>
        <w:t>enrollees</w:t>
      </w:r>
      <w:r w:rsidR="003D442B" w:rsidRPr="006403E6">
        <w:rPr>
          <w:rFonts w:ascii="Garamond" w:hAnsi="Garamond"/>
          <w:sz w:val="24"/>
          <w:szCs w:val="24"/>
        </w:rPr>
        <w:t xml:space="preserve"> with conditions that score moderately highly for risk adjustment</w:t>
      </w:r>
      <w:r w:rsidR="009405E7">
        <w:rPr>
          <w:rFonts w:ascii="Garamond" w:hAnsi="Garamond"/>
          <w:sz w:val="24"/>
          <w:szCs w:val="24"/>
        </w:rPr>
        <w:t xml:space="preserve">. </w:t>
      </w:r>
      <w:r w:rsidR="003D442B" w:rsidRPr="006403E6">
        <w:rPr>
          <w:rFonts w:ascii="Garamond" w:hAnsi="Garamond"/>
          <w:sz w:val="24"/>
          <w:szCs w:val="24"/>
        </w:rPr>
        <w:t>The</w:t>
      </w:r>
      <w:r w:rsidR="009405E7">
        <w:rPr>
          <w:rFonts w:ascii="Garamond" w:hAnsi="Garamond"/>
          <w:sz w:val="24"/>
          <w:szCs w:val="24"/>
        </w:rPr>
        <w:t xml:space="preserve"> latter group </w:t>
      </w:r>
      <w:r w:rsidR="003D442B" w:rsidRPr="006403E6">
        <w:rPr>
          <w:rFonts w:ascii="Garamond" w:hAnsi="Garamond"/>
          <w:sz w:val="24"/>
          <w:szCs w:val="24"/>
        </w:rPr>
        <w:t>will all qualify for at least some reinsurance</w:t>
      </w:r>
      <w:r w:rsidR="009405E7">
        <w:rPr>
          <w:rFonts w:ascii="Garamond" w:hAnsi="Garamond"/>
          <w:sz w:val="24"/>
          <w:szCs w:val="24"/>
        </w:rPr>
        <w:t>,</w:t>
      </w:r>
      <w:r w:rsidR="003D442B" w:rsidRPr="006403E6">
        <w:rPr>
          <w:rFonts w:ascii="Garamond" w:hAnsi="Garamond"/>
          <w:sz w:val="24"/>
          <w:szCs w:val="24"/>
        </w:rPr>
        <w:t xml:space="preserve"> and all of their conditions will not reach the reinsurance cap</w:t>
      </w:r>
      <w:r w:rsidR="009405E7">
        <w:rPr>
          <w:rFonts w:ascii="Garamond" w:hAnsi="Garamond"/>
          <w:sz w:val="24"/>
          <w:szCs w:val="24"/>
        </w:rPr>
        <w:t xml:space="preserve">. </w:t>
      </w:r>
      <w:r w:rsidR="00A92EE9" w:rsidRPr="006403E6">
        <w:rPr>
          <w:rFonts w:ascii="Garamond" w:hAnsi="Garamond"/>
          <w:sz w:val="24"/>
          <w:szCs w:val="24"/>
        </w:rPr>
        <w:t xml:space="preserve">The final insurer could cover a population that is overwhelmingly healthy but has a miniscule number of </w:t>
      </w:r>
      <w:r w:rsidR="009405E7">
        <w:rPr>
          <w:rFonts w:ascii="Garamond" w:hAnsi="Garamond"/>
          <w:sz w:val="24"/>
          <w:szCs w:val="24"/>
        </w:rPr>
        <w:t>enrollees</w:t>
      </w:r>
      <w:r w:rsidR="009405E7" w:rsidRPr="006403E6">
        <w:rPr>
          <w:rFonts w:ascii="Garamond" w:hAnsi="Garamond"/>
          <w:sz w:val="24"/>
          <w:szCs w:val="24"/>
        </w:rPr>
        <w:t xml:space="preserve"> </w:t>
      </w:r>
      <w:r w:rsidR="00A92EE9" w:rsidRPr="006403E6">
        <w:rPr>
          <w:rFonts w:ascii="Garamond" w:hAnsi="Garamond"/>
          <w:sz w:val="24"/>
          <w:szCs w:val="24"/>
        </w:rPr>
        <w:t>with extremely expensive conditions</w:t>
      </w:r>
      <w:r w:rsidR="009405E7">
        <w:rPr>
          <w:rFonts w:ascii="Garamond" w:hAnsi="Garamond"/>
          <w:sz w:val="24"/>
          <w:szCs w:val="24"/>
        </w:rPr>
        <w:t>,</w:t>
      </w:r>
      <w:r w:rsidR="00A92EE9" w:rsidRPr="006403E6">
        <w:rPr>
          <w:rFonts w:ascii="Garamond" w:hAnsi="Garamond"/>
          <w:sz w:val="24"/>
          <w:szCs w:val="24"/>
        </w:rPr>
        <w:t xml:space="preserve"> such as history of core organ transplants or hemophilia</w:t>
      </w:r>
      <w:r w:rsidR="009405E7">
        <w:rPr>
          <w:rFonts w:ascii="Garamond" w:hAnsi="Garamond"/>
          <w:sz w:val="24"/>
          <w:szCs w:val="24"/>
        </w:rPr>
        <w:t xml:space="preserve">. </w:t>
      </w:r>
      <w:r w:rsidR="00A92EE9" w:rsidRPr="006403E6">
        <w:rPr>
          <w:rFonts w:ascii="Garamond" w:hAnsi="Garamond"/>
          <w:sz w:val="24"/>
          <w:szCs w:val="24"/>
        </w:rPr>
        <w:t xml:space="preserve">A significant proportion of these claims will be above the </w:t>
      </w:r>
      <w:r w:rsidR="00003A83" w:rsidRPr="006403E6">
        <w:rPr>
          <w:rFonts w:ascii="Garamond" w:hAnsi="Garamond"/>
          <w:sz w:val="24"/>
          <w:szCs w:val="24"/>
        </w:rPr>
        <w:t>reinsurance cap</w:t>
      </w:r>
      <w:r w:rsidR="009405E7">
        <w:rPr>
          <w:rFonts w:ascii="Garamond" w:hAnsi="Garamond"/>
          <w:sz w:val="24"/>
          <w:szCs w:val="24"/>
        </w:rPr>
        <w:t xml:space="preserve">. </w:t>
      </w:r>
    </w:p>
    <w:p w14:paraId="56145268" w14:textId="64E24529" w:rsidR="00003A83" w:rsidRPr="006403E6" w:rsidRDefault="00003A83" w:rsidP="006403E6">
      <w:pPr>
        <w:spacing w:line="276" w:lineRule="auto"/>
        <w:rPr>
          <w:rFonts w:ascii="Garamond" w:hAnsi="Garamond"/>
          <w:sz w:val="24"/>
          <w:szCs w:val="24"/>
        </w:rPr>
      </w:pPr>
      <w:r w:rsidRPr="006403E6">
        <w:rPr>
          <w:rFonts w:ascii="Garamond" w:hAnsi="Garamond"/>
          <w:sz w:val="24"/>
          <w:szCs w:val="24"/>
        </w:rPr>
        <w:t>These three insurers all have the same average risk score</w:t>
      </w:r>
      <w:r w:rsidR="009405E7">
        <w:rPr>
          <w:rFonts w:ascii="Garamond" w:hAnsi="Garamond"/>
          <w:sz w:val="24"/>
          <w:szCs w:val="24"/>
        </w:rPr>
        <w:t>.</w:t>
      </w:r>
      <w:r w:rsidR="00CB7D0B">
        <w:rPr>
          <w:rFonts w:ascii="Garamond" w:hAnsi="Garamond"/>
          <w:sz w:val="24"/>
          <w:szCs w:val="24"/>
        </w:rPr>
        <w:t xml:space="preserve">  However the three insurers will have very different net of risk adjustment and net of reinsurance claims expenses. </w:t>
      </w:r>
      <w:r w:rsidR="009405E7">
        <w:rPr>
          <w:rFonts w:ascii="Garamond" w:hAnsi="Garamond"/>
          <w:sz w:val="24"/>
          <w:szCs w:val="24"/>
        </w:rPr>
        <w:t xml:space="preserve"> </w:t>
      </w:r>
      <w:r w:rsidRPr="006403E6">
        <w:rPr>
          <w:rFonts w:ascii="Garamond" w:hAnsi="Garamond"/>
          <w:sz w:val="24"/>
          <w:szCs w:val="24"/>
        </w:rPr>
        <w:t xml:space="preserve">The first insurer with many beneficiaries </w:t>
      </w:r>
      <w:r w:rsidR="009405E7">
        <w:rPr>
          <w:rFonts w:ascii="Garamond" w:hAnsi="Garamond"/>
          <w:sz w:val="24"/>
          <w:szCs w:val="24"/>
        </w:rPr>
        <w:t>with</w:t>
      </w:r>
      <w:r w:rsidRPr="006403E6">
        <w:rPr>
          <w:rFonts w:ascii="Garamond" w:hAnsi="Garamond"/>
          <w:sz w:val="24"/>
          <w:szCs w:val="24"/>
        </w:rPr>
        <w:t xml:space="preserve"> modest risk scores will bear the entire cost of care with no reinsurance assistance</w:t>
      </w:r>
      <w:r w:rsidR="009405E7">
        <w:rPr>
          <w:rFonts w:ascii="Garamond" w:hAnsi="Garamond"/>
          <w:sz w:val="24"/>
          <w:szCs w:val="24"/>
        </w:rPr>
        <w:t xml:space="preserve">. </w:t>
      </w:r>
      <w:r w:rsidR="00CB7D0B">
        <w:rPr>
          <w:rFonts w:ascii="Garamond" w:hAnsi="Garamond"/>
          <w:sz w:val="24"/>
          <w:szCs w:val="24"/>
        </w:rPr>
        <w:t xml:space="preserve">The second insurer with enrollees who have moderate claim expenses will receive some reinsurance funds.  The third insurer which has a small number of enrollees with very high expenses will maximize their reinsurance receipts for a given risk score.  The insurers are no longer agnostic to the health status of their enrollees.  If the Commonwealth uses the federal risk adjustment system, insurers will have an incentive to attempt to market their plans to certain populations while minimizing plan attractiveness to other populations.  </w:t>
      </w:r>
    </w:p>
    <w:p w14:paraId="7234D1A3" w14:textId="02888261" w:rsidR="00003A83" w:rsidRPr="006403E6" w:rsidRDefault="00003A83" w:rsidP="006403E6">
      <w:pPr>
        <w:spacing w:line="276" w:lineRule="auto"/>
        <w:rPr>
          <w:rFonts w:ascii="Garamond" w:hAnsi="Garamond"/>
          <w:sz w:val="24"/>
          <w:szCs w:val="24"/>
        </w:rPr>
      </w:pPr>
      <w:r w:rsidRPr="006403E6">
        <w:rPr>
          <w:rFonts w:ascii="Garamond" w:hAnsi="Garamond"/>
          <w:sz w:val="24"/>
          <w:szCs w:val="24"/>
        </w:rPr>
        <w:t>The Commonwealth should consider a new risk adjustment system that carves out reinsurance payments so that the risk adjustment system, in conjunction with reinsurance, transfers sufficient funds to pay for care to make insurers risk agnostic instead of risk aware. Risk</w:t>
      </w:r>
      <w:r w:rsidR="009405E7">
        <w:rPr>
          <w:rFonts w:ascii="Garamond" w:hAnsi="Garamond"/>
          <w:sz w:val="24"/>
          <w:szCs w:val="24"/>
        </w:rPr>
        <w:t>-</w:t>
      </w:r>
      <w:r w:rsidRPr="006403E6">
        <w:rPr>
          <w:rFonts w:ascii="Garamond" w:hAnsi="Garamond"/>
          <w:sz w:val="24"/>
          <w:szCs w:val="24"/>
        </w:rPr>
        <w:t xml:space="preserve">aware insurers either become </w:t>
      </w:r>
      <w:r w:rsidR="009405E7">
        <w:rPr>
          <w:rFonts w:ascii="Garamond" w:hAnsi="Garamond"/>
          <w:sz w:val="24"/>
          <w:szCs w:val="24"/>
        </w:rPr>
        <w:t>risk seekers or risk avoiders,</w:t>
      </w:r>
      <w:r w:rsidRPr="006403E6">
        <w:rPr>
          <w:rFonts w:ascii="Garamond" w:hAnsi="Garamond"/>
          <w:sz w:val="24"/>
          <w:szCs w:val="24"/>
        </w:rPr>
        <w:t xml:space="preserve"> which is not a behavior the Commonwealth should encourage in the ACA</w:t>
      </w:r>
      <w:r w:rsidR="009405E7">
        <w:rPr>
          <w:rFonts w:ascii="Garamond" w:hAnsi="Garamond"/>
          <w:sz w:val="24"/>
          <w:szCs w:val="24"/>
        </w:rPr>
        <w:t>-</w:t>
      </w:r>
      <w:r w:rsidRPr="006403E6">
        <w:rPr>
          <w:rFonts w:ascii="Garamond" w:hAnsi="Garamond"/>
          <w:sz w:val="24"/>
          <w:szCs w:val="24"/>
        </w:rPr>
        <w:t xml:space="preserve">regulated </w:t>
      </w:r>
      <w:r w:rsidR="009405E7">
        <w:rPr>
          <w:rFonts w:ascii="Garamond" w:hAnsi="Garamond"/>
          <w:sz w:val="24"/>
          <w:szCs w:val="24"/>
        </w:rPr>
        <w:t>markets</w:t>
      </w:r>
      <w:r w:rsidRPr="006403E6">
        <w:rPr>
          <w:rFonts w:ascii="Garamond" w:hAnsi="Garamond"/>
          <w:sz w:val="24"/>
          <w:szCs w:val="24"/>
        </w:rPr>
        <w:t>.</w:t>
      </w:r>
    </w:p>
    <w:p w14:paraId="1CD6E192" w14:textId="6C8ED712" w:rsidR="00B80988" w:rsidRPr="006403E6" w:rsidRDefault="00B501E2" w:rsidP="009405FF">
      <w:pPr>
        <w:spacing w:line="276" w:lineRule="auto"/>
        <w:rPr>
          <w:rFonts w:ascii="Garamond" w:hAnsi="Garamond"/>
          <w:i/>
          <w:sz w:val="24"/>
          <w:szCs w:val="24"/>
        </w:rPr>
      </w:pPr>
      <w:r w:rsidRPr="006403E6">
        <w:rPr>
          <w:rFonts w:ascii="Garamond" w:hAnsi="Garamond"/>
          <w:sz w:val="24"/>
          <w:szCs w:val="24"/>
        </w:rPr>
        <w:t xml:space="preserve">Our second concern is that we believe the estimate of no enrollment loss </w:t>
      </w:r>
      <w:r w:rsidR="00752713">
        <w:rPr>
          <w:rFonts w:ascii="Garamond" w:hAnsi="Garamond"/>
          <w:sz w:val="24"/>
          <w:szCs w:val="24"/>
        </w:rPr>
        <w:t>among</w:t>
      </w:r>
      <w:r w:rsidRPr="006403E6">
        <w:rPr>
          <w:rFonts w:ascii="Garamond" w:hAnsi="Garamond"/>
          <w:sz w:val="24"/>
          <w:szCs w:val="24"/>
        </w:rPr>
        <w:t xml:space="preserve"> the subsidized population</w:t>
      </w:r>
      <w:r w:rsidR="00CB7D0B">
        <w:rPr>
          <w:rFonts w:ascii="Garamond" w:hAnsi="Garamond"/>
          <w:sz w:val="24"/>
          <w:szCs w:val="24"/>
        </w:rPr>
        <w:t xml:space="preserve"> of the initial actuarial analysis </w:t>
      </w:r>
      <w:r w:rsidRPr="006403E6">
        <w:rPr>
          <w:rFonts w:ascii="Garamond" w:hAnsi="Garamond"/>
          <w:sz w:val="24"/>
          <w:szCs w:val="24"/>
        </w:rPr>
        <w:t xml:space="preserve">is incorrect. </w:t>
      </w:r>
      <w:r w:rsidR="009405E7">
        <w:rPr>
          <w:rFonts w:ascii="Garamond" w:hAnsi="Garamond"/>
          <w:sz w:val="24"/>
          <w:szCs w:val="24"/>
        </w:rPr>
        <w:t>The report states</w:t>
      </w:r>
      <w:r w:rsidR="00B80988" w:rsidRPr="006403E6">
        <w:rPr>
          <w:rFonts w:ascii="Garamond" w:hAnsi="Garamond"/>
          <w:sz w:val="24"/>
          <w:szCs w:val="24"/>
        </w:rPr>
        <w:t>:</w:t>
      </w:r>
    </w:p>
    <w:p w14:paraId="7A98678A" w14:textId="3EDDB936" w:rsidR="00B80988" w:rsidRPr="006403E6" w:rsidRDefault="00B80988" w:rsidP="006403E6">
      <w:pPr>
        <w:spacing w:line="276" w:lineRule="auto"/>
        <w:ind w:left="720"/>
        <w:rPr>
          <w:rFonts w:ascii="Garamond" w:hAnsi="Garamond"/>
          <w:i/>
          <w:sz w:val="24"/>
          <w:szCs w:val="24"/>
        </w:rPr>
      </w:pPr>
      <w:r w:rsidRPr="006403E6">
        <w:rPr>
          <w:rFonts w:ascii="Garamond" w:hAnsi="Garamond"/>
          <w:i/>
          <w:sz w:val="24"/>
          <w:szCs w:val="24"/>
        </w:rPr>
        <w:t>Table 4</w:t>
      </w:r>
      <w:r w:rsidR="009405E7">
        <w:rPr>
          <w:rFonts w:ascii="Garamond" w:hAnsi="Garamond"/>
          <w:i/>
          <w:sz w:val="24"/>
          <w:szCs w:val="24"/>
        </w:rPr>
        <w:t>…</w:t>
      </w:r>
      <w:r w:rsidRPr="006403E6">
        <w:rPr>
          <w:rFonts w:ascii="Garamond" w:hAnsi="Garamond"/>
          <w:i/>
          <w:sz w:val="24"/>
          <w:szCs w:val="24"/>
        </w:rPr>
        <w:t xml:space="preserve"> demonstrates how enrollment in Pennsylvania’s individual market would be expected to change assuming a reinsurance program resulting in a total average reduction to premium rates equal to between 4.9% and 7.5% (i.e., relative to the premium rates that would otherwise be charged under the baseline) were to be implemented starting in 2021. As shown, the impact of the reinsurance program on the volume of enrollees receiving APTCs in 2021 is expected to be minimal as the net premium rates paid by those enrollees (i.e., net of APTCs) are, on average, mostly insulated from changes in gross premium rates.</w:t>
      </w:r>
    </w:p>
    <w:p w14:paraId="43C9209A" w14:textId="2D7AD410" w:rsidR="00B80988" w:rsidRPr="006403E6" w:rsidRDefault="00B80988" w:rsidP="006403E6">
      <w:pPr>
        <w:spacing w:line="276" w:lineRule="auto"/>
        <w:rPr>
          <w:rFonts w:ascii="Garamond" w:hAnsi="Garamond"/>
          <w:sz w:val="24"/>
          <w:szCs w:val="24"/>
        </w:rPr>
      </w:pPr>
      <w:r w:rsidRPr="006403E6">
        <w:rPr>
          <w:rFonts w:ascii="Garamond" w:hAnsi="Garamond"/>
          <w:sz w:val="24"/>
          <w:szCs w:val="24"/>
        </w:rPr>
        <w:t xml:space="preserve">Subsidized buyers are fundamentally insulated from changes </w:t>
      </w:r>
      <w:r w:rsidR="009405E7">
        <w:rPr>
          <w:rFonts w:ascii="Garamond" w:hAnsi="Garamond"/>
          <w:sz w:val="24"/>
          <w:szCs w:val="24"/>
        </w:rPr>
        <w:t>to</w:t>
      </w:r>
      <w:r w:rsidRPr="006403E6">
        <w:rPr>
          <w:rFonts w:ascii="Garamond" w:hAnsi="Garamond"/>
          <w:sz w:val="24"/>
          <w:szCs w:val="24"/>
        </w:rPr>
        <w:t xml:space="preserve"> gross premiums </w:t>
      </w:r>
      <w:r w:rsidRPr="00C44103">
        <w:rPr>
          <w:rFonts w:ascii="Garamond" w:hAnsi="Garamond"/>
          <w:i/>
          <w:iCs/>
          <w:sz w:val="24"/>
          <w:szCs w:val="24"/>
        </w:rPr>
        <w:t>only for the silver benchmark plan</w:t>
      </w:r>
      <w:r w:rsidRPr="006403E6">
        <w:rPr>
          <w:rFonts w:ascii="Garamond" w:hAnsi="Garamond"/>
          <w:sz w:val="24"/>
          <w:szCs w:val="24"/>
        </w:rPr>
        <w:t xml:space="preserve">. Lower </w:t>
      </w:r>
      <w:r w:rsidR="009405E7">
        <w:rPr>
          <w:rFonts w:ascii="Garamond" w:hAnsi="Garamond"/>
          <w:sz w:val="24"/>
          <w:szCs w:val="24"/>
        </w:rPr>
        <w:t xml:space="preserve">gross </w:t>
      </w:r>
      <w:r w:rsidRPr="006403E6">
        <w:rPr>
          <w:rFonts w:ascii="Garamond" w:hAnsi="Garamond"/>
          <w:sz w:val="24"/>
          <w:szCs w:val="24"/>
        </w:rPr>
        <w:t>premium levels</w:t>
      </w:r>
      <w:r w:rsidR="00C44103">
        <w:rPr>
          <w:rFonts w:ascii="Garamond" w:hAnsi="Garamond"/>
          <w:sz w:val="24"/>
          <w:szCs w:val="24"/>
        </w:rPr>
        <w:t xml:space="preserve"> where the reduction is a uniform percentage tends to</w:t>
      </w:r>
      <w:r w:rsidRPr="006403E6">
        <w:rPr>
          <w:rFonts w:ascii="Garamond" w:hAnsi="Garamond"/>
          <w:sz w:val="24"/>
          <w:szCs w:val="24"/>
        </w:rPr>
        <w:t xml:space="preserve"> reduce the </w:t>
      </w:r>
      <w:r w:rsidR="009405E7">
        <w:rPr>
          <w:rFonts w:ascii="Garamond" w:hAnsi="Garamond"/>
          <w:sz w:val="24"/>
          <w:szCs w:val="24"/>
        </w:rPr>
        <w:t>difference</w:t>
      </w:r>
      <w:r w:rsidRPr="006403E6">
        <w:rPr>
          <w:rFonts w:ascii="Garamond" w:hAnsi="Garamond"/>
          <w:sz w:val="24"/>
          <w:szCs w:val="24"/>
        </w:rPr>
        <w:t xml:space="preserve"> between the benchmark premium and plans priced below the benchmark plan</w:t>
      </w:r>
      <w:r w:rsidR="00455BFB" w:rsidRPr="00455BFB">
        <w:rPr>
          <w:rFonts w:ascii="Garamond" w:hAnsi="Garamond"/>
          <w:sz w:val="24"/>
          <w:szCs w:val="24"/>
          <w:vertAlign w:val="superscript"/>
        </w:rPr>
        <w:t>1</w:t>
      </w:r>
      <w:r w:rsidRPr="006403E6">
        <w:rPr>
          <w:rFonts w:ascii="Garamond" w:hAnsi="Garamond"/>
          <w:sz w:val="24"/>
          <w:szCs w:val="24"/>
        </w:rPr>
        <w:t xml:space="preserve">. </w:t>
      </w:r>
      <w:r w:rsidR="009405E7">
        <w:rPr>
          <w:rFonts w:ascii="Garamond" w:hAnsi="Garamond"/>
          <w:sz w:val="24"/>
          <w:szCs w:val="24"/>
        </w:rPr>
        <w:t xml:space="preserve">These differences are known as </w:t>
      </w:r>
      <w:r w:rsidR="009405E7" w:rsidRPr="00C44103">
        <w:rPr>
          <w:rFonts w:ascii="Garamond" w:hAnsi="Garamond"/>
          <w:i/>
          <w:iCs/>
          <w:sz w:val="24"/>
          <w:szCs w:val="24"/>
        </w:rPr>
        <w:t>premium spread</w:t>
      </w:r>
      <w:r w:rsidR="009405E7">
        <w:rPr>
          <w:rFonts w:ascii="Garamond" w:hAnsi="Garamond"/>
          <w:i/>
          <w:iCs/>
          <w:sz w:val="24"/>
          <w:szCs w:val="24"/>
        </w:rPr>
        <w:t>s</w:t>
      </w:r>
      <w:r w:rsidR="009405E7">
        <w:rPr>
          <w:rFonts w:ascii="Garamond" w:hAnsi="Garamond"/>
          <w:sz w:val="24"/>
          <w:szCs w:val="24"/>
        </w:rPr>
        <w:t>. S</w:t>
      </w:r>
      <w:r w:rsidRPr="006403E6">
        <w:rPr>
          <w:rFonts w:ascii="Garamond" w:hAnsi="Garamond"/>
          <w:sz w:val="24"/>
          <w:szCs w:val="24"/>
        </w:rPr>
        <w:t xml:space="preserve">maller </w:t>
      </w:r>
      <w:r w:rsidR="009405E7">
        <w:rPr>
          <w:rFonts w:ascii="Garamond" w:hAnsi="Garamond"/>
          <w:sz w:val="24"/>
          <w:szCs w:val="24"/>
        </w:rPr>
        <w:lastRenderedPageBreak/>
        <w:t xml:space="preserve">premium </w:t>
      </w:r>
      <w:r w:rsidRPr="006403E6">
        <w:rPr>
          <w:rFonts w:ascii="Garamond" w:hAnsi="Garamond"/>
          <w:sz w:val="24"/>
          <w:szCs w:val="24"/>
        </w:rPr>
        <w:t>spread</w:t>
      </w:r>
      <w:r w:rsidR="009405E7">
        <w:rPr>
          <w:rFonts w:ascii="Garamond" w:hAnsi="Garamond"/>
          <w:sz w:val="24"/>
          <w:szCs w:val="24"/>
        </w:rPr>
        <w:t>s</w:t>
      </w:r>
      <w:r w:rsidRPr="006403E6">
        <w:rPr>
          <w:rFonts w:ascii="Garamond" w:hAnsi="Garamond"/>
          <w:sz w:val="24"/>
          <w:szCs w:val="24"/>
        </w:rPr>
        <w:t xml:space="preserve"> increase net premium</w:t>
      </w:r>
      <w:r w:rsidR="009405E7">
        <w:rPr>
          <w:rFonts w:ascii="Garamond" w:hAnsi="Garamond"/>
          <w:sz w:val="24"/>
          <w:szCs w:val="24"/>
        </w:rPr>
        <w:t>s</w:t>
      </w:r>
      <w:r w:rsidRPr="006403E6">
        <w:rPr>
          <w:rFonts w:ascii="Garamond" w:hAnsi="Garamond"/>
          <w:sz w:val="24"/>
          <w:szCs w:val="24"/>
        </w:rPr>
        <w:t xml:space="preserve"> for individuals who purchase plans priced below the benchmark</w:t>
      </w:r>
      <w:r w:rsidR="009405E7">
        <w:rPr>
          <w:rFonts w:ascii="Garamond" w:hAnsi="Garamond"/>
          <w:sz w:val="24"/>
          <w:szCs w:val="24"/>
        </w:rPr>
        <w:t xml:space="preserve">. </w:t>
      </w:r>
      <w:r w:rsidRPr="006403E6">
        <w:rPr>
          <w:rFonts w:ascii="Garamond" w:hAnsi="Garamond"/>
          <w:sz w:val="24"/>
          <w:szCs w:val="24"/>
        </w:rPr>
        <w:t>This will lower enrollment</w:t>
      </w:r>
      <w:r w:rsidRPr="00455BFB">
        <w:rPr>
          <w:rFonts w:ascii="Garamond" w:hAnsi="Garamond"/>
          <w:sz w:val="24"/>
          <w:szCs w:val="24"/>
          <w:vertAlign w:val="superscript"/>
        </w:rPr>
        <w:t>.</w:t>
      </w:r>
      <w:r w:rsidRPr="00455BFB">
        <w:rPr>
          <w:rStyle w:val="FootnoteReference"/>
          <w:rFonts w:ascii="Garamond" w:hAnsi="Garamond"/>
          <w:sz w:val="24"/>
          <w:szCs w:val="24"/>
        </w:rPr>
        <w:footnoteReference w:id="1"/>
      </w:r>
      <w:r w:rsidR="00455BFB" w:rsidRPr="00455BFB">
        <w:rPr>
          <w:rFonts w:ascii="Garamond" w:hAnsi="Garamond"/>
          <w:sz w:val="24"/>
          <w:szCs w:val="24"/>
          <w:vertAlign w:val="superscript"/>
        </w:rPr>
        <w:t>,5</w:t>
      </w:r>
      <w:r w:rsidRPr="006403E6">
        <w:rPr>
          <w:rFonts w:ascii="Garamond" w:hAnsi="Garamond"/>
          <w:sz w:val="24"/>
          <w:szCs w:val="24"/>
        </w:rPr>
        <w:t xml:space="preserve"> Furthermore, the smaller premium spread will decrease the availability of plans priced at zero dollars net of subsidy</w:t>
      </w:r>
      <w:r w:rsidR="009405E7">
        <w:rPr>
          <w:rFonts w:ascii="Garamond" w:hAnsi="Garamond"/>
          <w:sz w:val="24"/>
          <w:szCs w:val="24"/>
        </w:rPr>
        <w:t xml:space="preserve">. </w:t>
      </w:r>
      <w:r w:rsidR="00005E9A">
        <w:rPr>
          <w:rFonts w:ascii="Garamond" w:hAnsi="Garamond"/>
          <w:sz w:val="24"/>
          <w:szCs w:val="24"/>
        </w:rPr>
        <w:t>Our f</w:t>
      </w:r>
      <w:r w:rsidRPr="006403E6">
        <w:rPr>
          <w:rFonts w:ascii="Garamond" w:hAnsi="Garamond"/>
          <w:sz w:val="24"/>
          <w:szCs w:val="24"/>
        </w:rPr>
        <w:t>orthcoming</w:t>
      </w:r>
      <w:r w:rsidR="00005E9A">
        <w:rPr>
          <w:rFonts w:ascii="Garamond" w:hAnsi="Garamond"/>
          <w:sz w:val="24"/>
          <w:szCs w:val="24"/>
        </w:rPr>
        <w:t xml:space="preserve"> research</w:t>
      </w:r>
      <w:r w:rsidRPr="006403E6">
        <w:rPr>
          <w:rFonts w:ascii="Garamond" w:hAnsi="Garamond"/>
          <w:sz w:val="24"/>
          <w:szCs w:val="24"/>
        </w:rPr>
        <w:t xml:space="preserve"> in </w:t>
      </w:r>
      <w:r w:rsidRPr="006403E6">
        <w:rPr>
          <w:rFonts w:ascii="Garamond" w:hAnsi="Garamond"/>
          <w:i/>
          <w:sz w:val="24"/>
          <w:szCs w:val="24"/>
        </w:rPr>
        <w:t>Health Affairs</w:t>
      </w:r>
      <w:r w:rsidRPr="006403E6">
        <w:rPr>
          <w:rFonts w:ascii="Garamond" w:hAnsi="Garamond"/>
          <w:sz w:val="24"/>
          <w:szCs w:val="24"/>
        </w:rPr>
        <w:t xml:space="preserve"> show</w:t>
      </w:r>
      <w:r w:rsidR="00005E9A">
        <w:rPr>
          <w:rFonts w:ascii="Garamond" w:hAnsi="Garamond"/>
          <w:sz w:val="24"/>
          <w:szCs w:val="24"/>
        </w:rPr>
        <w:t>s</w:t>
      </w:r>
      <w:r w:rsidRPr="006403E6">
        <w:rPr>
          <w:rFonts w:ascii="Garamond" w:hAnsi="Garamond"/>
          <w:sz w:val="24"/>
          <w:szCs w:val="24"/>
        </w:rPr>
        <w:t xml:space="preserve"> that </w:t>
      </w:r>
      <w:r w:rsidR="00005E9A">
        <w:rPr>
          <w:rFonts w:ascii="Garamond" w:hAnsi="Garamond"/>
          <w:sz w:val="24"/>
          <w:szCs w:val="24"/>
        </w:rPr>
        <w:t>zero-dollar net-of-subsidy premiums being available</w:t>
      </w:r>
      <w:r w:rsidRPr="006403E6">
        <w:rPr>
          <w:rFonts w:ascii="Garamond" w:hAnsi="Garamond"/>
          <w:sz w:val="24"/>
          <w:szCs w:val="24"/>
        </w:rPr>
        <w:t xml:space="preserve"> is associated with double</w:t>
      </w:r>
      <w:r w:rsidR="00005E9A">
        <w:rPr>
          <w:rFonts w:ascii="Garamond" w:hAnsi="Garamond"/>
          <w:sz w:val="24"/>
          <w:szCs w:val="24"/>
        </w:rPr>
        <w:t>-</w:t>
      </w:r>
      <w:r w:rsidRPr="006403E6">
        <w:rPr>
          <w:rFonts w:ascii="Garamond" w:hAnsi="Garamond"/>
          <w:sz w:val="24"/>
          <w:szCs w:val="24"/>
        </w:rPr>
        <w:t>digit increase</w:t>
      </w:r>
      <w:r w:rsidR="00005E9A">
        <w:rPr>
          <w:rFonts w:ascii="Garamond" w:hAnsi="Garamond"/>
          <w:sz w:val="24"/>
          <w:szCs w:val="24"/>
        </w:rPr>
        <w:t>s</w:t>
      </w:r>
      <w:r w:rsidRPr="006403E6">
        <w:rPr>
          <w:rFonts w:ascii="Garamond" w:hAnsi="Garamond"/>
          <w:sz w:val="24"/>
          <w:szCs w:val="24"/>
        </w:rPr>
        <w:t xml:space="preserve"> in enrollment for </w:t>
      </w:r>
      <w:r w:rsidR="00005E9A">
        <w:rPr>
          <w:rFonts w:ascii="Garamond" w:hAnsi="Garamond"/>
          <w:sz w:val="24"/>
          <w:szCs w:val="24"/>
        </w:rPr>
        <w:t>lower-income enrollees</w:t>
      </w:r>
      <w:r w:rsidRPr="006403E6">
        <w:rPr>
          <w:rFonts w:ascii="Garamond" w:hAnsi="Garamond"/>
          <w:sz w:val="24"/>
          <w:szCs w:val="24"/>
        </w:rPr>
        <w:t>.</w:t>
      </w:r>
      <w:r w:rsidRPr="006403E6">
        <w:rPr>
          <w:rStyle w:val="FootnoteReference"/>
          <w:rFonts w:ascii="Garamond" w:hAnsi="Garamond"/>
          <w:sz w:val="24"/>
          <w:szCs w:val="24"/>
        </w:rPr>
        <w:footnoteReference w:id="2"/>
      </w:r>
      <w:r w:rsidRPr="006403E6">
        <w:rPr>
          <w:rFonts w:ascii="Garamond" w:hAnsi="Garamond"/>
          <w:sz w:val="24"/>
          <w:szCs w:val="24"/>
        </w:rPr>
        <w:t xml:space="preserve">  </w:t>
      </w:r>
    </w:p>
    <w:p w14:paraId="15F49D5F" w14:textId="094D3172" w:rsidR="00B501E2" w:rsidRPr="006403E6" w:rsidRDefault="00B80988" w:rsidP="006403E6">
      <w:pPr>
        <w:spacing w:line="276" w:lineRule="auto"/>
        <w:rPr>
          <w:rFonts w:ascii="Garamond" w:hAnsi="Garamond"/>
          <w:sz w:val="24"/>
          <w:szCs w:val="24"/>
        </w:rPr>
      </w:pPr>
      <w:r w:rsidRPr="006403E6">
        <w:rPr>
          <w:rFonts w:ascii="Garamond" w:hAnsi="Garamond"/>
          <w:sz w:val="24"/>
          <w:szCs w:val="24"/>
        </w:rPr>
        <w:t xml:space="preserve">Pennsylvania can learn from Colorado’s experience with reinsurance and </w:t>
      </w:r>
      <w:r w:rsidR="005231FE">
        <w:rPr>
          <w:rFonts w:ascii="Garamond" w:hAnsi="Garamond"/>
          <w:sz w:val="24"/>
          <w:szCs w:val="24"/>
        </w:rPr>
        <w:t>its</w:t>
      </w:r>
      <w:r w:rsidRPr="006403E6">
        <w:rPr>
          <w:rFonts w:ascii="Garamond" w:hAnsi="Garamond"/>
          <w:sz w:val="24"/>
          <w:szCs w:val="24"/>
        </w:rPr>
        <w:t xml:space="preserve"> </w:t>
      </w:r>
      <w:r w:rsidR="005231FE">
        <w:rPr>
          <w:rFonts w:ascii="Garamond" w:hAnsi="Garamond"/>
          <w:sz w:val="24"/>
          <w:szCs w:val="24"/>
        </w:rPr>
        <w:t xml:space="preserve">proposed </w:t>
      </w:r>
      <w:r w:rsidRPr="006403E6">
        <w:rPr>
          <w:rFonts w:ascii="Garamond" w:hAnsi="Garamond"/>
          <w:sz w:val="24"/>
          <w:szCs w:val="24"/>
        </w:rPr>
        <w:t>public option</w:t>
      </w:r>
      <w:r w:rsidR="009405E7">
        <w:rPr>
          <w:rFonts w:ascii="Garamond" w:hAnsi="Garamond"/>
          <w:sz w:val="24"/>
          <w:szCs w:val="24"/>
        </w:rPr>
        <w:t xml:space="preserve">. </w:t>
      </w:r>
      <w:r w:rsidRPr="006403E6">
        <w:rPr>
          <w:rFonts w:ascii="Garamond" w:hAnsi="Garamond"/>
          <w:sz w:val="24"/>
          <w:szCs w:val="24"/>
        </w:rPr>
        <w:t xml:space="preserve">Colorado has adopted a reinsurance proposal that will produce </w:t>
      </w:r>
      <w:r w:rsidR="009405FF">
        <w:rPr>
          <w:rFonts w:ascii="Garamond" w:hAnsi="Garamond"/>
          <w:sz w:val="24"/>
          <w:szCs w:val="24"/>
        </w:rPr>
        <w:t xml:space="preserve">a larger savings in gross premium percentage </w:t>
      </w:r>
      <w:r w:rsidRPr="006403E6">
        <w:rPr>
          <w:rFonts w:ascii="Garamond" w:hAnsi="Garamond"/>
          <w:sz w:val="24"/>
          <w:szCs w:val="24"/>
        </w:rPr>
        <w:t>than the Pennsylvania proposal</w:t>
      </w:r>
      <w:r w:rsidR="009405E7">
        <w:rPr>
          <w:rFonts w:ascii="Garamond" w:hAnsi="Garamond"/>
          <w:sz w:val="24"/>
          <w:szCs w:val="24"/>
        </w:rPr>
        <w:t xml:space="preserve">. </w:t>
      </w:r>
      <w:r w:rsidR="005231FE">
        <w:rPr>
          <w:rFonts w:ascii="Garamond" w:hAnsi="Garamond"/>
          <w:sz w:val="24"/>
          <w:szCs w:val="24"/>
        </w:rPr>
        <w:t>However, t</w:t>
      </w:r>
      <w:r w:rsidRPr="006403E6">
        <w:rPr>
          <w:rFonts w:ascii="Garamond" w:hAnsi="Garamond"/>
          <w:sz w:val="24"/>
          <w:szCs w:val="24"/>
        </w:rPr>
        <w:t xml:space="preserve">he change in premium spreads </w:t>
      </w:r>
      <w:r w:rsidR="005231FE">
        <w:rPr>
          <w:rFonts w:ascii="Garamond" w:hAnsi="Garamond"/>
          <w:sz w:val="24"/>
          <w:szCs w:val="24"/>
        </w:rPr>
        <w:t xml:space="preserve">affected by the public option </w:t>
      </w:r>
      <w:r w:rsidRPr="006403E6">
        <w:rPr>
          <w:rFonts w:ascii="Garamond" w:hAnsi="Garamond"/>
          <w:sz w:val="24"/>
          <w:szCs w:val="24"/>
        </w:rPr>
        <w:t xml:space="preserve">will increase </w:t>
      </w:r>
      <w:r w:rsidR="005231FE">
        <w:rPr>
          <w:rFonts w:ascii="Garamond" w:hAnsi="Garamond"/>
          <w:sz w:val="24"/>
          <w:szCs w:val="24"/>
        </w:rPr>
        <w:t xml:space="preserve">net </w:t>
      </w:r>
      <w:r w:rsidRPr="006403E6">
        <w:rPr>
          <w:rFonts w:ascii="Garamond" w:hAnsi="Garamond"/>
          <w:sz w:val="24"/>
          <w:szCs w:val="24"/>
        </w:rPr>
        <w:t xml:space="preserve">premiums for many subsidized buyers </w:t>
      </w:r>
      <w:r w:rsidR="009405FF">
        <w:rPr>
          <w:rFonts w:ascii="Garamond" w:hAnsi="Garamond"/>
          <w:sz w:val="24"/>
          <w:szCs w:val="24"/>
        </w:rPr>
        <w:t xml:space="preserve">even if </w:t>
      </w:r>
      <w:r w:rsidRPr="006403E6">
        <w:rPr>
          <w:rFonts w:ascii="Garamond" w:hAnsi="Garamond"/>
          <w:sz w:val="24"/>
          <w:szCs w:val="24"/>
        </w:rPr>
        <w:t>they actively shop.</w:t>
      </w:r>
      <w:r w:rsidRPr="006403E6">
        <w:rPr>
          <w:rStyle w:val="FootnoteReference"/>
          <w:rFonts w:ascii="Garamond" w:hAnsi="Garamond"/>
          <w:sz w:val="24"/>
          <w:szCs w:val="24"/>
        </w:rPr>
        <w:footnoteReference w:id="3"/>
      </w:r>
      <w:r w:rsidRPr="006403E6">
        <w:rPr>
          <w:rFonts w:ascii="Garamond" w:hAnsi="Garamond"/>
          <w:sz w:val="24"/>
          <w:szCs w:val="24"/>
        </w:rPr>
        <w:t xml:space="preserve">  </w:t>
      </w:r>
    </w:p>
    <w:p w14:paraId="64460ECA" w14:textId="610BFA7B" w:rsidR="006403E6" w:rsidRPr="006403E6" w:rsidRDefault="00B80988" w:rsidP="006403E6">
      <w:pPr>
        <w:spacing w:line="276" w:lineRule="auto"/>
        <w:rPr>
          <w:rFonts w:ascii="Garamond" w:hAnsi="Garamond"/>
          <w:sz w:val="24"/>
          <w:szCs w:val="24"/>
        </w:rPr>
      </w:pPr>
      <w:r w:rsidRPr="006403E6">
        <w:rPr>
          <w:rFonts w:ascii="Garamond" w:hAnsi="Garamond"/>
          <w:sz w:val="24"/>
          <w:szCs w:val="24"/>
        </w:rPr>
        <w:t xml:space="preserve">Furthermore, Colorado, in an attempt to lower gross premiums, will be instituting </w:t>
      </w:r>
      <w:r w:rsidR="006403E6" w:rsidRPr="006403E6">
        <w:rPr>
          <w:rFonts w:ascii="Garamond" w:hAnsi="Garamond"/>
          <w:sz w:val="24"/>
          <w:szCs w:val="24"/>
        </w:rPr>
        <w:t xml:space="preserve">a multi-carrier public option that will lower premiums and decrease </w:t>
      </w:r>
      <w:r w:rsidR="005231FE">
        <w:rPr>
          <w:rFonts w:ascii="Garamond" w:hAnsi="Garamond"/>
          <w:sz w:val="24"/>
          <w:szCs w:val="24"/>
        </w:rPr>
        <w:t xml:space="preserve">the </w:t>
      </w:r>
      <w:r w:rsidR="006403E6" w:rsidRPr="006403E6">
        <w:rPr>
          <w:rFonts w:ascii="Garamond" w:hAnsi="Garamond"/>
          <w:sz w:val="24"/>
          <w:szCs w:val="24"/>
        </w:rPr>
        <w:t xml:space="preserve">premium spread of the least expensive plan relative to </w:t>
      </w:r>
      <w:r w:rsidR="005231FE">
        <w:rPr>
          <w:rFonts w:ascii="Garamond" w:hAnsi="Garamond"/>
          <w:sz w:val="24"/>
          <w:szCs w:val="24"/>
        </w:rPr>
        <w:t xml:space="preserve">the </w:t>
      </w:r>
      <w:r w:rsidR="006403E6" w:rsidRPr="006403E6">
        <w:rPr>
          <w:rFonts w:ascii="Garamond" w:hAnsi="Garamond"/>
          <w:sz w:val="24"/>
          <w:szCs w:val="24"/>
        </w:rPr>
        <w:t>benchmark</w:t>
      </w:r>
      <w:r w:rsidR="005231FE">
        <w:rPr>
          <w:rFonts w:ascii="Garamond" w:hAnsi="Garamond"/>
          <w:sz w:val="24"/>
          <w:szCs w:val="24"/>
        </w:rPr>
        <w:t xml:space="preserve"> plan</w:t>
      </w:r>
      <w:r w:rsidR="009405E7">
        <w:rPr>
          <w:rFonts w:ascii="Garamond" w:hAnsi="Garamond"/>
          <w:sz w:val="24"/>
          <w:szCs w:val="24"/>
        </w:rPr>
        <w:t xml:space="preserve">. </w:t>
      </w:r>
      <w:r w:rsidR="006403E6" w:rsidRPr="006403E6">
        <w:rPr>
          <w:rFonts w:ascii="Garamond" w:hAnsi="Garamond"/>
          <w:sz w:val="24"/>
          <w:szCs w:val="24"/>
        </w:rPr>
        <w:t>An analysis</w:t>
      </w:r>
      <w:r w:rsidR="005231FE">
        <w:rPr>
          <w:rFonts w:ascii="Garamond" w:hAnsi="Garamond"/>
          <w:sz w:val="24"/>
          <w:szCs w:val="24"/>
        </w:rPr>
        <w:t xml:space="preserve"> by Mr. Anderson and </w:t>
      </w:r>
      <w:r w:rsidR="00752713">
        <w:rPr>
          <w:rFonts w:ascii="Garamond" w:hAnsi="Garamond"/>
          <w:sz w:val="24"/>
          <w:szCs w:val="24"/>
        </w:rPr>
        <w:t xml:space="preserve">Mr. </w:t>
      </w:r>
      <w:r w:rsidR="005231FE">
        <w:rPr>
          <w:rFonts w:ascii="Garamond" w:hAnsi="Garamond"/>
          <w:sz w:val="24"/>
          <w:szCs w:val="24"/>
        </w:rPr>
        <w:t>Billy Wynne of Wynne Health Group found</w:t>
      </w:r>
      <w:r w:rsidR="006403E6" w:rsidRPr="006403E6">
        <w:rPr>
          <w:rFonts w:ascii="Garamond" w:hAnsi="Garamond"/>
          <w:sz w:val="24"/>
          <w:szCs w:val="24"/>
        </w:rPr>
        <w:t xml:space="preserve"> that the </w:t>
      </w:r>
      <w:r w:rsidR="005231FE">
        <w:rPr>
          <w:rFonts w:ascii="Garamond" w:hAnsi="Garamond"/>
          <w:sz w:val="24"/>
          <w:szCs w:val="24"/>
        </w:rPr>
        <w:t xml:space="preserve">net premium of the </w:t>
      </w:r>
      <w:r w:rsidR="006403E6" w:rsidRPr="006403E6">
        <w:rPr>
          <w:rFonts w:ascii="Garamond" w:hAnsi="Garamond"/>
          <w:sz w:val="24"/>
          <w:szCs w:val="24"/>
        </w:rPr>
        <w:t xml:space="preserve">least expensive plan would increase </w:t>
      </w:r>
      <w:r w:rsidR="00757EAF">
        <w:rPr>
          <w:rFonts w:ascii="Garamond" w:hAnsi="Garamond"/>
          <w:sz w:val="24"/>
          <w:szCs w:val="24"/>
        </w:rPr>
        <w:t>if</w:t>
      </w:r>
      <w:r w:rsidR="006403E6" w:rsidRPr="006403E6">
        <w:rPr>
          <w:rFonts w:ascii="Garamond" w:hAnsi="Garamond"/>
          <w:sz w:val="24"/>
          <w:szCs w:val="24"/>
        </w:rPr>
        <w:t xml:space="preserve"> the</w:t>
      </w:r>
      <w:r w:rsidR="005231FE">
        <w:rPr>
          <w:rFonts w:ascii="Garamond" w:hAnsi="Garamond"/>
          <w:sz w:val="24"/>
          <w:szCs w:val="24"/>
        </w:rPr>
        <w:t xml:space="preserve"> gross</w:t>
      </w:r>
      <w:r w:rsidR="006403E6" w:rsidRPr="006403E6">
        <w:rPr>
          <w:rFonts w:ascii="Garamond" w:hAnsi="Garamond"/>
          <w:sz w:val="24"/>
          <w:szCs w:val="24"/>
        </w:rPr>
        <w:t xml:space="preserve"> premium of the benchmark plan dropped</w:t>
      </w:r>
      <w:r w:rsidR="006403E6" w:rsidRPr="006403E6">
        <w:rPr>
          <w:rStyle w:val="FootnoteReference"/>
          <w:rFonts w:ascii="Garamond" w:hAnsi="Garamond"/>
          <w:sz w:val="24"/>
          <w:szCs w:val="24"/>
        </w:rPr>
        <w:footnoteReference w:id="4"/>
      </w:r>
    </w:p>
    <w:p w14:paraId="6EB24DF2" w14:textId="77777777" w:rsidR="006403E6" w:rsidRPr="006403E6" w:rsidRDefault="006403E6" w:rsidP="006403E6">
      <w:pPr>
        <w:spacing w:line="276" w:lineRule="auto"/>
        <w:ind w:left="720"/>
        <w:rPr>
          <w:rFonts w:ascii="Garamond" w:hAnsi="Garamond" w:cs="Arial"/>
          <w:color w:val="404042"/>
          <w:sz w:val="24"/>
          <w:szCs w:val="24"/>
          <w:shd w:val="clear" w:color="auto" w:fill="FFFFFF"/>
        </w:rPr>
      </w:pPr>
      <w:r w:rsidRPr="006403E6">
        <w:rPr>
          <w:rFonts w:ascii="Garamond" w:hAnsi="Garamond" w:cs="Arial"/>
          <w:i/>
          <w:color w:val="404042"/>
          <w:sz w:val="24"/>
          <w:szCs w:val="24"/>
          <w:shd w:val="clear" w:color="auto" w:fill="FFFFFF"/>
        </w:rPr>
        <w:t>Our analysis suggests that introduction of a single public option plan in each rating area of Colorado would reduce the contribution a sample subsidized consumer would need to make to the premium of the lowest-cost plan in each metallic tier by 40.0 percent to 73.4 percent. Introduction of multiple public option plans in each rating area would, by contrast, decrease net premium contributions by 6.5 percent for the lowest-cost gold plan while increasing the contribution required for bronze and silver plans by 15.7 and 0.7 percent, respectively</w:t>
      </w:r>
      <w:r w:rsidRPr="006403E6">
        <w:rPr>
          <w:rFonts w:ascii="Garamond" w:hAnsi="Garamond" w:cs="Arial"/>
          <w:color w:val="404042"/>
          <w:sz w:val="24"/>
          <w:szCs w:val="24"/>
          <w:shd w:val="clear" w:color="auto" w:fill="FFFFFF"/>
        </w:rPr>
        <w:t>. </w:t>
      </w:r>
    </w:p>
    <w:p w14:paraId="496532B3" w14:textId="3CE8E170" w:rsidR="006403E6" w:rsidRPr="006403E6" w:rsidRDefault="006403E6" w:rsidP="006403E6">
      <w:pPr>
        <w:spacing w:line="276" w:lineRule="auto"/>
        <w:rPr>
          <w:rFonts w:ascii="Garamond" w:hAnsi="Garamond"/>
          <w:sz w:val="24"/>
          <w:szCs w:val="24"/>
        </w:rPr>
      </w:pPr>
      <w:r w:rsidRPr="006403E6">
        <w:rPr>
          <w:rFonts w:ascii="Garamond" w:hAnsi="Garamond"/>
          <w:sz w:val="24"/>
          <w:szCs w:val="24"/>
        </w:rPr>
        <w:t xml:space="preserve">Plans that are priced below the benchmark </w:t>
      </w:r>
      <w:r w:rsidR="00757EAF">
        <w:rPr>
          <w:rFonts w:ascii="Garamond" w:hAnsi="Garamond"/>
          <w:sz w:val="24"/>
          <w:szCs w:val="24"/>
        </w:rPr>
        <w:t xml:space="preserve">plan’s </w:t>
      </w:r>
      <w:r w:rsidRPr="006403E6">
        <w:rPr>
          <w:rFonts w:ascii="Garamond" w:hAnsi="Garamond"/>
          <w:sz w:val="24"/>
          <w:szCs w:val="24"/>
        </w:rPr>
        <w:t xml:space="preserve">premium become less affordable for subsidized buyers when there is a uniform </w:t>
      </w:r>
      <w:r w:rsidR="009405FF">
        <w:rPr>
          <w:rFonts w:ascii="Garamond" w:hAnsi="Garamond"/>
          <w:sz w:val="24"/>
          <w:szCs w:val="24"/>
        </w:rPr>
        <w:t xml:space="preserve">percentage </w:t>
      </w:r>
      <w:r w:rsidRPr="006403E6">
        <w:rPr>
          <w:rFonts w:ascii="Garamond" w:hAnsi="Garamond"/>
          <w:sz w:val="24"/>
          <w:szCs w:val="24"/>
        </w:rPr>
        <w:t>decrease in premium levels</w:t>
      </w:r>
      <w:r w:rsidR="009405E7">
        <w:rPr>
          <w:rFonts w:ascii="Garamond" w:hAnsi="Garamond"/>
          <w:sz w:val="24"/>
          <w:szCs w:val="24"/>
        </w:rPr>
        <w:t xml:space="preserve">. </w:t>
      </w:r>
      <w:r w:rsidR="00757EAF">
        <w:rPr>
          <w:rFonts w:ascii="Garamond" w:hAnsi="Garamond"/>
          <w:sz w:val="24"/>
          <w:szCs w:val="24"/>
        </w:rPr>
        <w:t>This is particularly concerning because individuals on the margin of enrolling in the Marketplaces are concerned about the net premiums of the lowest cost plans—that is, those below the benchmark plan’s premium</w:t>
      </w:r>
      <w:r w:rsidR="00455BFB" w:rsidRPr="00455BFB">
        <w:rPr>
          <w:rFonts w:ascii="Garamond" w:hAnsi="Garamond"/>
          <w:sz w:val="24"/>
          <w:szCs w:val="24"/>
          <w:vertAlign w:val="superscript"/>
        </w:rPr>
        <w:t>2</w:t>
      </w:r>
      <w:r w:rsidR="00757EAF">
        <w:rPr>
          <w:rFonts w:ascii="Garamond" w:hAnsi="Garamond"/>
          <w:sz w:val="24"/>
          <w:szCs w:val="24"/>
        </w:rPr>
        <w:t>. Any policy change that increases the net premiums of the lowest cost plans is therefore likely to reduce overall Marketplace enrollment, particularly among lower-income populations that are most sensitive to premium change</w:t>
      </w:r>
      <w:bookmarkStart w:id="0" w:name="_GoBack"/>
      <w:bookmarkEnd w:id="0"/>
      <w:r w:rsidR="00757EAF">
        <w:rPr>
          <w:rFonts w:ascii="Garamond" w:hAnsi="Garamond"/>
          <w:sz w:val="24"/>
          <w:szCs w:val="24"/>
        </w:rPr>
        <w:t>s and healthier individuals that have lower demand for health insurance.</w:t>
      </w:r>
      <w:r w:rsidR="009405FF">
        <w:rPr>
          <w:rStyle w:val="FootnoteReference"/>
          <w:rFonts w:ascii="Garamond" w:hAnsi="Garamond"/>
          <w:sz w:val="24"/>
          <w:szCs w:val="24"/>
        </w:rPr>
        <w:footnoteReference w:id="5"/>
      </w:r>
      <w:r w:rsidR="00757EAF">
        <w:rPr>
          <w:rFonts w:ascii="Garamond" w:hAnsi="Garamond"/>
          <w:sz w:val="24"/>
          <w:szCs w:val="24"/>
        </w:rPr>
        <w:t xml:space="preserve"> A decrease in enrollment among </w:t>
      </w:r>
      <w:r w:rsidR="00757EAF">
        <w:rPr>
          <w:rFonts w:ascii="Garamond" w:hAnsi="Garamond"/>
          <w:sz w:val="24"/>
          <w:szCs w:val="24"/>
        </w:rPr>
        <w:lastRenderedPageBreak/>
        <w:t>healthier individuals is especially concerning given the implications for the overall individual market risk pool of lower-risk enrollees leaving the market.</w:t>
      </w:r>
    </w:p>
    <w:p w14:paraId="4A56EB8C" w14:textId="7449A97E" w:rsidR="006403E6" w:rsidRPr="006403E6" w:rsidRDefault="006403E6" w:rsidP="006403E6">
      <w:pPr>
        <w:spacing w:line="276" w:lineRule="auto"/>
      </w:pPr>
      <w:r w:rsidRPr="006403E6">
        <w:rPr>
          <w:rFonts w:ascii="Garamond" w:hAnsi="Garamond"/>
          <w:sz w:val="24"/>
          <w:szCs w:val="24"/>
        </w:rPr>
        <w:t xml:space="preserve">We urge the Commonwealth to conduct a more thorough actuarial analysis that </w:t>
      </w:r>
      <w:r w:rsidR="005231FE">
        <w:rPr>
          <w:rFonts w:ascii="Garamond" w:hAnsi="Garamond"/>
          <w:sz w:val="24"/>
          <w:szCs w:val="24"/>
        </w:rPr>
        <w:t>considers</w:t>
      </w:r>
      <w:r w:rsidRPr="006403E6">
        <w:rPr>
          <w:rFonts w:ascii="Garamond" w:hAnsi="Garamond"/>
          <w:sz w:val="24"/>
          <w:szCs w:val="24"/>
        </w:rPr>
        <w:t xml:space="preserve"> the </w:t>
      </w:r>
      <w:r w:rsidR="005231FE">
        <w:rPr>
          <w:rFonts w:ascii="Garamond" w:hAnsi="Garamond"/>
          <w:sz w:val="24"/>
          <w:szCs w:val="24"/>
        </w:rPr>
        <w:t>distribution of plan enrollment among subsidized buyers</w:t>
      </w:r>
      <w:r w:rsidR="009405E7">
        <w:rPr>
          <w:rFonts w:ascii="Garamond" w:hAnsi="Garamond"/>
          <w:sz w:val="24"/>
          <w:szCs w:val="24"/>
        </w:rPr>
        <w:t xml:space="preserve">. </w:t>
      </w:r>
      <w:r w:rsidRPr="006403E6">
        <w:rPr>
          <w:rFonts w:ascii="Garamond" w:hAnsi="Garamond"/>
          <w:sz w:val="24"/>
          <w:szCs w:val="24"/>
        </w:rPr>
        <w:t>We anticipate that tens of thousands of enrollees will face higher net premiums in a “with waiver” world</w:t>
      </w:r>
      <w:r w:rsidR="005231FE">
        <w:rPr>
          <w:rFonts w:ascii="Garamond" w:hAnsi="Garamond"/>
          <w:sz w:val="24"/>
          <w:szCs w:val="24"/>
        </w:rPr>
        <w:t>,</w:t>
      </w:r>
      <w:r w:rsidRPr="006403E6">
        <w:rPr>
          <w:rFonts w:ascii="Garamond" w:hAnsi="Garamond"/>
          <w:sz w:val="24"/>
          <w:szCs w:val="24"/>
        </w:rPr>
        <w:t xml:space="preserve"> and that some of these enrollees will elect to go uninsured</w:t>
      </w:r>
      <w:r w:rsidR="00757EAF">
        <w:rPr>
          <w:rFonts w:ascii="Garamond" w:hAnsi="Garamond"/>
          <w:sz w:val="24"/>
          <w:szCs w:val="24"/>
        </w:rPr>
        <w:t xml:space="preserve"> in response to higher net premiums</w:t>
      </w:r>
      <w:r w:rsidR="009405E7">
        <w:rPr>
          <w:rFonts w:ascii="Garamond" w:hAnsi="Garamond"/>
          <w:sz w:val="24"/>
          <w:szCs w:val="24"/>
        </w:rPr>
        <w:t xml:space="preserve">. </w:t>
      </w:r>
    </w:p>
    <w:sectPr w:rsidR="006403E6" w:rsidRPr="006403E6">
      <w:footerReference w:type="default" r:id="rId7"/>
      <w:pgSz w:w="12240" w:h="15840"/>
      <w:pgMar w:top="720" w:right="1800" w:bottom="1440" w:left="180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4F8A6" w16cid:durableId="217FE0D9"/>
  <w16cid:commentId w16cid:paraId="4EBACB7D" w16cid:durableId="217FE0EC"/>
  <w16cid:commentId w16cid:paraId="2C287A98" w16cid:durableId="217FE306"/>
  <w16cid:commentId w16cid:paraId="5F5D16EE" w16cid:durableId="217FE5B9"/>
  <w16cid:commentId w16cid:paraId="1F628F90" w16cid:durableId="217FE5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B004" w14:textId="77777777" w:rsidR="00171539" w:rsidRDefault="00171539">
      <w:pPr>
        <w:spacing w:after="0" w:line="240" w:lineRule="auto"/>
      </w:pPr>
      <w:r>
        <w:separator/>
      </w:r>
    </w:p>
  </w:endnote>
  <w:endnote w:type="continuationSeparator" w:id="0">
    <w:p w14:paraId="33B93EE1" w14:textId="77777777" w:rsidR="00171539" w:rsidRDefault="0017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299169"/>
      <w:docPartObj>
        <w:docPartGallery w:val="Page Numbers (Bottom of Page)"/>
        <w:docPartUnique/>
      </w:docPartObj>
    </w:sdtPr>
    <w:sdtEndPr>
      <w:rPr>
        <w:noProof/>
      </w:rPr>
    </w:sdtEndPr>
    <w:sdtContent>
      <w:p w14:paraId="418C7EB9" w14:textId="77777777" w:rsidR="00595A29" w:rsidRDefault="00D77C46">
        <w:pPr>
          <w:pStyle w:val="Footer"/>
        </w:pPr>
        <w:r>
          <w:fldChar w:fldCharType="begin"/>
        </w:r>
        <w:r>
          <w:instrText xml:space="preserve"> PAGE   \* MERGEFORMAT </w:instrText>
        </w:r>
        <w:r>
          <w:fldChar w:fldCharType="separate"/>
        </w:r>
        <w:r w:rsidR="00455BF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3434C" w14:textId="77777777" w:rsidR="00171539" w:rsidRDefault="00171539">
      <w:pPr>
        <w:spacing w:after="0" w:line="240" w:lineRule="auto"/>
      </w:pPr>
      <w:r>
        <w:separator/>
      </w:r>
    </w:p>
  </w:footnote>
  <w:footnote w:type="continuationSeparator" w:id="0">
    <w:p w14:paraId="71EFCC76" w14:textId="77777777" w:rsidR="00171539" w:rsidRDefault="00171539">
      <w:pPr>
        <w:spacing w:after="0" w:line="240" w:lineRule="auto"/>
      </w:pPr>
      <w:r>
        <w:continuationSeparator/>
      </w:r>
    </w:p>
  </w:footnote>
  <w:footnote w:id="1">
    <w:p w14:paraId="018C5B7F" w14:textId="77777777" w:rsidR="00B80988" w:rsidRPr="00752713" w:rsidRDefault="00B80988" w:rsidP="00752713">
      <w:pPr>
        <w:spacing w:line="240" w:lineRule="auto"/>
        <w:rPr>
          <w:rFonts w:ascii="Garamond" w:hAnsi="Garamond" w:cstheme="minorHAnsi"/>
          <w:sz w:val="20"/>
          <w:szCs w:val="20"/>
        </w:rPr>
      </w:pPr>
      <w:r w:rsidRPr="00752713">
        <w:rPr>
          <w:rStyle w:val="FootnoteReference"/>
          <w:rFonts w:ascii="Garamond" w:hAnsi="Garamond" w:cstheme="minorHAnsi"/>
          <w:sz w:val="20"/>
          <w:szCs w:val="20"/>
        </w:rPr>
        <w:footnoteRef/>
      </w:r>
      <w:r w:rsidRPr="00752713">
        <w:rPr>
          <w:rFonts w:ascii="Garamond" w:eastAsia="Times New Roman" w:hAnsi="Garamond" w:cstheme="minorHAnsi"/>
          <w:sz w:val="20"/>
          <w:szCs w:val="20"/>
          <w:lang w:eastAsia="en-US"/>
        </w:rPr>
        <w:t xml:space="preserve"> Drake C, Abraham JM. Individual market health plan affordability after cost-sharing reduction subsidy cuts. Health Services Research [Internet]. 2019 [cited 2019 Nov 18];54(4):730–8. Available from: </w:t>
      </w:r>
      <w:hyperlink r:id="rId1" w:history="1">
        <w:r w:rsidRPr="00752713">
          <w:rPr>
            <w:rFonts w:ascii="Garamond" w:eastAsia="Times New Roman" w:hAnsi="Garamond" w:cstheme="minorHAnsi"/>
            <w:sz w:val="20"/>
            <w:szCs w:val="20"/>
            <w:u w:val="single"/>
            <w:lang w:eastAsia="en-US"/>
          </w:rPr>
          <w:t>https://onlinelibrary.wiley.com/doi/abs/10.1111/1475-6773.13190</w:t>
        </w:r>
      </w:hyperlink>
    </w:p>
  </w:footnote>
  <w:footnote w:id="2">
    <w:p w14:paraId="009EBFAD" w14:textId="77777777" w:rsidR="00B80988" w:rsidRPr="00752713" w:rsidRDefault="00B80988" w:rsidP="00752713">
      <w:pPr>
        <w:pStyle w:val="FootnoteText"/>
        <w:spacing w:after="120"/>
        <w:rPr>
          <w:rFonts w:ascii="Garamond" w:hAnsi="Garamond" w:cstheme="minorHAnsi"/>
        </w:rPr>
      </w:pPr>
      <w:r w:rsidRPr="00752713">
        <w:rPr>
          <w:rStyle w:val="FootnoteReference"/>
          <w:rFonts w:ascii="Garamond" w:hAnsi="Garamond" w:cstheme="minorHAnsi"/>
        </w:rPr>
        <w:footnoteRef/>
      </w:r>
      <w:r w:rsidRPr="00752713">
        <w:rPr>
          <w:rFonts w:ascii="Garamond" w:hAnsi="Garamond" w:cstheme="minorHAnsi"/>
        </w:rPr>
        <w:t xml:space="preserve"> Drake C. Anderson D. Terminating The Cost-Sharing Reduction Subsidy: The Impact On Marketplace Zero-Dollar Premium Plans And Enrollment. Health Affairs 2020 Forthcoming [ cited 2019 Nov 18]</w:t>
      </w:r>
    </w:p>
  </w:footnote>
  <w:footnote w:id="3">
    <w:p w14:paraId="652C0D96" w14:textId="77777777" w:rsidR="00B80988" w:rsidRPr="00752713" w:rsidRDefault="00B80988" w:rsidP="00752713">
      <w:pPr>
        <w:spacing w:line="240" w:lineRule="auto"/>
        <w:rPr>
          <w:rFonts w:ascii="Garamond" w:hAnsi="Garamond" w:cstheme="minorHAnsi"/>
          <w:sz w:val="20"/>
          <w:szCs w:val="20"/>
        </w:rPr>
      </w:pPr>
      <w:r w:rsidRPr="00752713">
        <w:rPr>
          <w:rStyle w:val="FootnoteReference"/>
          <w:rFonts w:ascii="Garamond" w:hAnsi="Garamond" w:cstheme="minorHAnsi"/>
          <w:sz w:val="20"/>
          <w:szCs w:val="20"/>
        </w:rPr>
        <w:footnoteRef/>
      </w:r>
      <w:r w:rsidRPr="00752713">
        <w:rPr>
          <w:rFonts w:ascii="Garamond" w:eastAsia="Times New Roman" w:hAnsi="Garamond" w:cstheme="minorHAnsi"/>
          <w:sz w:val="20"/>
          <w:szCs w:val="20"/>
          <w:lang w:eastAsia="en-US"/>
        </w:rPr>
        <w:t xml:space="preserve"> Colorado’s reinsurance program has been lauded as a way to reduce health care costs. Here’s the fine print. – The Colorado Sun [Internet]. [cited 2019 Nov 18]. Available from: </w:t>
      </w:r>
      <w:hyperlink r:id="rId2" w:history="1">
        <w:r w:rsidRPr="00752713">
          <w:rPr>
            <w:rFonts w:ascii="Garamond" w:eastAsia="Times New Roman" w:hAnsi="Garamond" w:cstheme="minorHAnsi"/>
            <w:sz w:val="20"/>
            <w:szCs w:val="20"/>
            <w:u w:val="single"/>
            <w:lang w:eastAsia="en-US"/>
          </w:rPr>
          <w:t>https://coloradosun.com/2019/11/01/colorado-reinsurance-health-premium-increases/</w:t>
        </w:r>
      </w:hyperlink>
    </w:p>
  </w:footnote>
  <w:footnote w:id="4">
    <w:p w14:paraId="632C403E" w14:textId="027722E3" w:rsidR="006403E6" w:rsidRPr="00752713" w:rsidRDefault="006403E6" w:rsidP="00752713">
      <w:pPr>
        <w:spacing w:line="240" w:lineRule="auto"/>
        <w:rPr>
          <w:rFonts w:ascii="Garamond" w:eastAsia="Times New Roman" w:hAnsi="Garamond" w:cstheme="minorHAnsi"/>
          <w:sz w:val="20"/>
          <w:szCs w:val="20"/>
          <w:lang w:eastAsia="en-US"/>
        </w:rPr>
      </w:pPr>
      <w:r w:rsidRPr="00752713">
        <w:rPr>
          <w:rStyle w:val="FootnoteReference"/>
          <w:rFonts w:ascii="Garamond" w:hAnsi="Garamond" w:cstheme="minorHAnsi"/>
          <w:sz w:val="20"/>
          <w:szCs w:val="20"/>
        </w:rPr>
        <w:footnoteRef/>
      </w:r>
      <w:r w:rsidRPr="00752713">
        <w:rPr>
          <w:rFonts w:ascii="Garamond" w:eastAsia="Times New Roman" w:hAnsi="Garamond" w:cstheme="minorHAnsi"/>
          <w:sz w:val="20"/>
          <w:szCs w:val="20"/>
          <w:lang w:eastAsia="en-US"/>
        </w:rPr>
        <w:t xml:space="preserve"> A Single Public Plan Option Versus </w:t>
      </w:r>
      <w:r w:rsidR="00B46BD8" w:rsidRPr="00752713">
        <w:rPr>
          <w:rFonts w:ascii="Garamond" w:eastAsia="Times New Roman" w:hAnsi="Garamond" w:cstheme="minorHAnsi"/>
          <w:sz w:val="20"/>
          <w:szCs w:val="20"/>
          <w:lang w:eastAsia="en-US"/>
        </w:rPr>
        <w:t>a</w:t>
      </w:r>
      <w:r w:rsidRPr="00752713">
        <w:rPr>
          <w:rFonts w:ascii="Garamond" w:eastAsia="Times New Roman" w:hAnsi="Garamond" w:cstheme="minorHAnsi"/>
          <w:sz w:val="20"/>
          <w:szCs w:val="20"/>
          <w:lang w:eastAsia="en-US"/>
        </w:rPr>
        <w:t xml:space="preserve"> Multiplan Approach: A Colorado Case Study | Health Affairs [Internet]. [cited 2019 Nov 18]. Available from: </w:t>
      </w:r>
      <w:hyperlink r:id="rId3" w:history="1">
        <w:r w:rsidRPr="00752713">
          <w:rPr>
            <w:rFonts w:ascii="Garamond" w:eastAsia="Times New Roman" w:hAnsi="Garamond" w:cstheme="minorHAnsi"/>
            <w:sz w:val="20"/>
            <w:szCs w:val="20"/>
            <w:u w:val="single"/>
            <w:lang w:eastAsia="en-US"/>
          </w:rPr>
          <w:t>https://www.healthaffairs.org/do/10.1377/hblog20190828.810494/full/</w:t>
        </w:r>
      </w:hyperlink>
    </w:p>
  </w:footnote>
  <w:footnote w:id="5">
    <w:p w14:paraId="12E74353" w14:textId="27F603A0" w:rsidR="009405FF" w:rsidRDefault="009405FF" w:rsidP="00752713">
      <w:pPr>
        <w:pStyle w:val="FootnoteText"/>
        <w:spacing w:after="120"/>
      </w:pPr>
      <w:r w:rsidRPr="00752713">
        <w:rPr>
          <w:rStyle w:val="FootnoteReference"/>
          <w:rFonts w:ascii="Garamond" w:hAnsi="Garamond"/>
        </w:rPr>
        <w:footnoteRef/>
      </w:r>
      <w:r w:rsidRPr="00752713">
        <w:rPr>
          <w:rFonts w:ascii="Garamond" w:hAnsi="Garamond"/>
        </w:rPr>
        <w:t xml:space="preserve"> </w:t>
      </w:r>
      <w:r w:rsidRPr="00752713">
        <w:rPr>
          <w:rFonts w:ascii="Garamond" w:hAnsi="Garamond"/>
          <w:shd w:val="clear" w:color="auto" w:fill="FFFFFF"/>
        </w:rPr>
        <w:t>Tebaldi, Pietro, Estimating Equilibrium in Health Insurance Exchanges: Price Competition and Subsidy Design under the ACA (August 11, 2017). Becker Friedman Institute for Research in Economics Working Paper No. 2017-05. Available at SSRN: </w:t>
      </w:r>
      <w:hyperlink r:id="rId4" w:tgtFrame="_blank" w:history="1">
        <w:r w:rsidRPr="00752713">
          <w:rPr>
            <w:rStyle w:val="Hyperlink"/>
            <w:rFonts w:ascii="Garamond" w:hAnsi="Garamond"/>
            <w:color w:val="auto"/>
            <w:shd w:val="clear" w:color="auto" w:fill="FFFFFF"/>
          </w:rPr>
          <w:t>https://ssrn.com/abstract=3020103</w:t>
        </w:r>
      </w:hyperlink>
      <w:r w:rsidRPr="00752713">
        <w:rPr>
          <w:rFonts w:ascii="Garamond" w:hAnsi="Garamond"/>
          <w:shd w:val="clear" w:color="auto" w:fill="FFFFFF"/>
        </w:rPr>
        <w:t> or </w:t>
      </w:r>
      <w:hyperlink r:id="rId5" w:tgtFrame="_blank" w:history="1">
        <w:r w:rsidRPr="00752713">
          <w:rPr>
            <w:rStyle w:val="Hyperlink"/>
            <w:rFonts w:ascii="Garamond" w:hAnsi="Garamond"/>
            <w:color w:val="auto"/>
            <w:shd w:val="clear" w:color="auto" w:fill="FFFFFF"/>
          </w:rPr>
          <w:t>http://dx.doi.org/10.2139/ssrn.3020103</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9E"/>
    <w:rsid w:val="00003A83"/>
    <w:rsid w:val="00005E9A"/>
    <w:rsid w:val="0007397A"/>
    <w:rsid w:val="00147A1D"/>
    <w:rsid w:val="00171539"/>
    <w:rsid w:val="00201891"/>
    <w:rsid w:val="00201E9E"/>
    <w:rsid w:val="00255C64"/>
    <w:rsid w:val="00306307"/>
    <w:rsid w:val="00390BCD"/>
    <w:rsid w:val="00394E0B"/>
    <w:rsid w:val="003D442B"/>
    <w:rsid w:val="00455BFB"/>
    <w:rsid w:val="004C2E9D"/>
    <w:rsid w:val="005115A1"/>
    <w:rsid w:val="005231FE"/>
    <w:rsid w:val="00595A29"/>
    <w:rsid w:val="006403E6"/>
    <w:rsid w:val="0067221F"/>
    <w:rsid w:val="00696B3E"/>
    <w:rsid w:val="006D69F0"/>
    <w:rsid w:val="007072E7"/>
    <w:rsid w:val="007140C8"/>
    <w:rsid w:val="00751185"/>
    <w:rsid w:val="00752713"/>
    <w:rsid w:val="00757EAF"/>
    <w:rsid w:val="00795131"/>
    <w:rsid w:val="007B3B75"/>
    <w:rsid w:val="00812C84"/>
    <w:rsid w:val="009405E7"/>
    <w:rsid w:val="009405FF"/>
    <w:rsid w:val="009575A2"/>
    <w:rsid w:val="00A92EE9"/>
    <w:rsid w:val="00B46BD8"/>
    <w:rsid w:val="00B501E2"/>
    <w:rsid w:val="00B80988"/>
    <w:rsid w:val="00BE56EB"/>
    <w:rsid w:val="00C44103"/>
    <w:rsid w:val="00CB7D0B"/>
    <w:rsid w:val="00CE4F23"/>
    <w:rsid w:val="00CE712D"/>
    <w:rsid w:val="00D77C46"/>
    <w:rsid w:val="00DE351E"/>
    <w:rsid w:val="00F14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E805"/>
  <w15:chartTrackingRefBased/>
  <w15:docId w15:val="{70F0FC5C-1C90-4276-8C2A-BA942181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paragraph" w:styleId="FootnoteText">
    <w:name w:val="footnote text"/>
    <w:basedOn w:val="Normal"/>
    <w:link w:val="FootnoteTextChar"/>
    <w:uiPriority w:val="99"/>
    <w:semiHidden/>
    <w:unhideWhenUsed/>
    <w:rsid w:val="00B80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988"/>
    <w:rPr>
      <w:sz w:val="20"/>
      <w:szCs w:val="20"/>
    </w:rPr>
  </w:style>
  <w:style w:type="character" w:styleId="FootnoteReference">
    <w:name w:val="footnote reference"/>
    <w:basedOn w:val="DefaultParagraphFont"/>
    <w:uiPriority w:val="99"/>
    <w:semiHidden/>
    <w:unhideWhenUsed/>
    <w:rsid w:val="00B80988"/>
    <w:rPr>
      <w:vertAlign w:val="superscript"/>
    </w:rPr>
  </w:style>
  <w:style w:type="character" w:styleId="Hyperlink">
    <w:name w:val="Hyperlink"/>
    <w:basedOn w:val="DefaultParagraphFont"/>
    <w:uiPriority w:val="99"/>
    <w:semiHidden/>
    <w:unhideWhenUsed/>
    <w:rsid w:val="00B80988"/>
    <w:rPr>
      <w:color w:val="0000FF"/>
      <w:u w:val="single"/>
    </w:rPr>
  </w:style>
  <w:style w:type="character" w:styleId="CommentReference">
    <w:name w:val="annotation reference"/>
    <w:basedOn w:val="DefaultParagraphFont"/>
    <w:uiPriority w:val="99"/>
    <w:semiHidden/>
    <w:unhideWhenUsed/>
    <w:rsid w:val="009405E7"/>
    <w:rPr>
      <w:sz w:val="16"/>
      <w:szCs w:val="16"/>
    </w:rPr>
  </w:style>
  <w:style w:type="paragraph" w:styleId="CommentText">
    <w:name w:val="annotation text"/>
    <w:basedOn w:val="Normal"/>
    <w:link w:val="CommentTextChar"/>
    <w:uiPriority w:val="99"/>
    <w:semiHidden/>
    <w:unhideWhenUsed/>
    <w:rsid w:val="009405E7"/>
    <w:pPr>
      <w:spacing w:line="240" w:lineRule="auto"/>
    </w:pPr>
    <w:rPr>
      <w:sz w:val="20"/>
      <w:szCs w:val="20"/>
    </w:rPr>
  </w:style>
  <w:style w:type="character" w:customStyle="1" w:styleId="CommentTextChar">
    <w:name w:val="Comment Text Char"/>
    <w:basedOn w:val="DefaultParagraphFont"/>
    <w:link w:val="CommentText"/>
    <w:uiPriority w:val="99"/>
    <w:semiHidden/>
    <w:rsid w:val="009405E7"/>
    <w:rPr>
      <w:sz w:val="20"/>
      <w:szCs w:val="20"/>
    </w:rPr>
  </w:style>
  <w:style w:type="paragraph" w:styleId="CommentSubject">
    <w:name w:val="annotation subject"/>
    <w:basedOn w:val="CommentText"/>
    <w:next w:val="CommentText"/>
    <w:link w:val="CommentSubjectChar"/>
    <w:uiPriority w:val="99"/>
    <w:semiHidden/>
    <w:unhideWhenUsed/>
    <w:rsid w:val="009405E7"/>
    <w:rPr>
      <w:b/>
      <w:bCs/>
    </w:rPr>
  </w:style>
  <w:style w:type="character" w:customStyle="1" w:styleId="CommentSubjectChar">
    <w:name w:val="Comment Subject Char"/>
    <w:basedOn w:val="CommentTextChar"/>
    <w:link w:val="CommentSubject"/>
    <w:uiPriority w:val="99"/>
    <w:semiHidden/>
    <w:rsid w:val="009405E7"/>
    <w:rPr>
      <w:b/>
      <w:bCs/>
      <w:sz w:val="20"/>
      <w:szCs w:val="20"/>
    </w:rPr>
  </w:style>
  <w:style w:type="paragraph" w:styleId="BalloonText">
    <w:name w:val="Balloon Text"/>
    <w:basedOn w:val="Normal"/>
    <w:link w:val="BalloonTextChar"/>
    <w:uiPriority w:val="99"/>
    <w:semiHidden/>
    <w:unhideWhenUsed/>
    <w:rsid w:val="0094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405E7"/>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4451">
      <w:bodyDiv w:val="1"/>
      <w:marLeft w:val="0"/>
      <w:marRight w:val="0"/>
      <w:marTop w:val="0"/>
      <w:marBottom w:val="0"/>
      <w:divBdr>
        <w:top w:val="none" w:sz="0" w:space="0" w:color="auto"/>
        <w:left w:val="none" w:sz="0" w:space="0" w:color="auto"/>
        <w:bottom w:val="none" w:sz="0" w:space="0" w:color="auto"/>
        <w:right w:val="none" w:sz="0" w:space="0" w:color="auto"/>
      </w:divBdr>
      <w:divsChild>
        <w:div w:id="917859175">
          <w:marLeft w:val="0"/>
          <w:marRight w:val="0"/>
          <w:marTop w:val="0"/>
          <w:marBottom w:val="0"/>
          <w:divBdr>
            <w:top w:val="none" w:sz="0" w:space="0" w:color="auto"/>
            <w:left w:val="none" w:sz="0" w:space="0" w:color="auto"/>
            <w:bottom w:val="none" w:sz="0" w:space="0" w:color="auto"/>
            <w:right w:val="none" w:sz="0" w:space="0" w:color="auto"/>
          </w:divBdr>
          <w:divsChild>
            <w:div w:id="49153706">
              <w:marLeft w:val="0"/>
              <w:marRight w:val="0"/>
              <w:marTop w:val="0"/>
              <w:marBottom w:val="0"/>
              <w:divBdr>
                <w:top w:val="none" w:sz="0" w:space="0" w:color="auto"/>
                <w:left w:val="none" w:sz="0" w:space="0" w:color="auto"/>
                <w:bottom w:val="none" w:sz="0" w:space="0" w:color="auto"/>
                <w:right w:val="none" w:sz="0" w:space="0" w:color="auto"/>
              </w:divBdr>
              <w:divsChild>
                <w:div w:id="6775811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28424117">
      <w:bodyDiv w:val="1"/>
      <w:marLeft w:val="0"/>
      <w:marRight w:val="0"/>
      <w:marTop w:val="0"/>
      <w:marBottom w:val="0"/>
      <w:divBdr>
        <w:top w:val="none" w:sz="0" w:space="0" w:color="auto"/>
        <w:left w:val="none" w:sz="0" w:space="0" w:color="auto"/>
        <w:bottom w:val="none" w:sz="0" w:space="0" w:color="auto"/>
        <w:right w:val="none" w:sz="0" w:space="0" w:color="auto"/>
      </w:divBdr>
      <w:divsChild>
        <w:div w:id="2013099320">
          <w:marLeft w:val="0"/>
          <w:marRight w:val="0"/>
          <w:marTop w:val="0"/>
          <w:marBottom w:val="0"/>
          <w:divBdr>
            <w:top w:val="none" w:sz="0" w:space="0" w:color="auto"/>
            <w:left w:val="none" w:sz="0" w:space="0" w:color="auto"/>
            <w:bottom w:val="none" w:sz="0" w:space="0" w:color="auto"/>
            <w:right w:val="none" w:sz="0" w:space="0" w:color="auto"/>
          </w:divBdr>
          <w:divsChild>
            <w:div w:id="855079874">
              <w:marLeft w:val="0"/>
              <w:marRight w:val="0"/>
              <w:marTop w:val="0"/>
              <w:marBottom w:val="0"/>
              <w:divBdr>
                <w:top w:val="none" w:sz="0" w:space="0" w:color="auto"/>
                <w:left w:val="none" w:sz="0" w:space="0" w:color="auto"/>
                <w:bottom w:val="none" w:sz="0" w:space="0" w:color="auto"/>
                <w:right w:val="none" w:sz="0" w:space="0" w:color="auto"/>
              </w:divBdr>
              <w:divsChild>
                <w:div w:id="33071988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46223885">
      <w:bodyDiv w:val="1"/>
      <w:marLeft w:val="0"/>
      <w:marRight w:val="0"/>
      <w:marTop w:val="0"/>
      <w:marBottom w:val="0"/>
      <w:divBdr>
        <w:top w:val="none" w:sz="0" w:space="0" w:color="auto"/>
        <w:left w:val="none" w:sz="0" w:space="0" w:color="auto"/>
        <w:bottom w:val="none" w:sz="0" w:space="0" w:color="auto"/>
        <w:right w:val="none" w:sz="0" w:space="0" w:color="auto"/>
      </w:divBdr>
      <w:divsChild>
        <w:div w:id="457648839">
          <w:marLeft w:val="0"/>
          <w:marRight w:val="0"/>
          <w:marTop w:val="0"/>
          <w:marBottom w:val="0"/>
          <w:divBdr>
            <w:top w:val="none" w:sz="0" w:space="0" w:color="auto"/>
            <w:left w:val="none" w:sz="0" w:space="0" w:color="auto"/>
            <w:bottom w:val="none" w:sz="0" w:space="0" w:color="auto"/>
            <w:right w:val="none" w:sz="0" w:space="0" w:color="auto"/>
          </w:divBdr>
          <w:divsChild>
            <w:div w:id="2127964497">
              <w:marLeft w:val="0"/>
              <w:marRight w:val="0"/>
              <w:marTop w:val="0"/>
              <w:marBottom w:val="0"/>
              <w:divBdr>
                <w:top w:val="none" w:sz="0" w:space="0" w:color="auto"/>
                <w:left w:val="none" w:sz="0" w:space="0" w:color="auto"/>
                <w:bottom w:val="none" w:sz="0" w:space="0" w:color="auto"/>
                <w:right w:val="none" w:sz="0" w:space="0" w:color="auto"/>
              </w:divBdr>
              <w:divsChild>
                <w:div w:id="21050216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45870658">
      <w:bodyDiv w:val="1"/>
      <w:marLeft w:val="0"/>
      <w:marRight w:val="0"/>
      <w:marTop w:val="0"/>
      <w:marBottom w:val="0"/>
      <w:divBdr>
        <w:top w:val="none" w:sz="0" w:space="0" w:color="auto"/>
        <w:left w:val="none" w:sz="0" w:space="0" w:color="auto"/>
        <w:bottom w:val="none" w:sz="0" w:space="0" w:color="auto"/>
        <w:right w:val="none" w:sz="0" w:space="0" w:color="auto"/>
      </w:divBdr>
      <w:divsChild>
        <w:div w:id="1379549681">
          <w:marLeft w:val="0"/>
          <w:marRight w:val="0"/>
          <w:marTop w:val="0"/>
          <w:marBottom w:val="0"/>
          <w:divBdr>
            <w:top w:val="none" w:sz="0" w:space="0" w:color="auto"/>
            <w:left w:val="none" w:sz="0" w:space="0" w:color="auto"/>
            <w:bottom w:val="none" w:sz="0" w:space="0" w:color="auto"/>
            <w:right w:val="none" w:sz="0" w:space="0" w:color="auto"/>
          </w:divBdr>
          <w:divsChild>
            <w:div w:id="1903980621">
              <w:marLeft w:val="0"/>
              <w:marRight w:val="0"/>
              <w:marTop w:val="0"/>
              <w:marBottom w:val="0"/>
              <w:divBdr>
                <w:top w:val="none" w:sz="0" w:space="0" w:color="auto"/>
                <w:left w:val="none" w:sz="0" w:space="0" w:color="auto"/>
                <w:bottom w:val="none" w:sz="0" w:space="0" w:color="auto"/>
                <w:right w:val="none" w:sz="0" w:space="0" w:color="auto"/>
              </w:divBdr>
              <w:divsChild>
                <w:div w:id="123543676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affairs.org/do/10.1377/hblog20190828.810494/full/" TargetMode="External"/><Relationship Id="rId2" Type="http://schemas.openxmlformats.org/officeDocument/2006/relationships/hyperlink" Target="https://coloradosun.com/2019/11/01/colorado-reinsurance-health-premium-increases/" TargetMode="External"/><Relationship Id="rId1" Type="http://schemas.openxmlformats.org/officeDocument/2006/relationships/hyperlink" Target="https://onlinelibrary.wiley.com/doi/abs/10.1111/1475-6773.13190" TargetMode="External"/><Relationship Id="rId5" Type="http://schemas.openxmlformats.org/officeDocument/2006/relationships/hyperlink" Target="https://dx.doi.org/10.2139/ssrn.3020103" TargetMode="External"/><Relationship Id="rId4" Type="http://schemas.openxmlformats.org/officeDocument/2006/relationships/hyperlink" Target="https://ssrn.com/abstract=30201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34\AppData\Roaming\Microsoft\Templates\Memo%20(simple%20desig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F221B073E24086B54455FC13A608DF"/>
        <w:category>
          <w:name w:val="General"/>
          <w:gallery w:val="placeholder"/>
        </w:category>
        <w:types>
          <w:type w:val="bbPlcHdr"/>
        </w:types>
        <w:behaviors>
          <w:behavior w:val="content"/>
        </w:behaviors>
        <w:guid w:val="{CC933936-6AE9-47C3-AB7E-9D2F5B31E769}"/>
      </w:docPartPr>
      <w:docPartBody>
        <w:p w:rsidR="005636C4" w:rsidRDefault="008A0831">
          <w:pPr>
            <w:pStyle w:val="C5F221B073E24086B54455FC13A608DF"/>
          </w:pPr>
          <w:r>
            <w:t>memo</w:t>
          </w:r>
        </w:p>
      </w:docPartBody>
    </w:docPart>
    <w:docPart>
      <w:docPartPr>
        <w:name w:val="8329138AE66049E2AE4D460CF896E4F6"/>
        <w:category>
          <w:name w:val="General"/>
          <w:gallery w:val="placeholder"/>
        </w:category>
        <w:types>
          <w:type w:val="bbPlcHdr"/>
        </w:types>
        <w:behaviors>
          <w:behavior w:val="content"/>
        </w:behaviors>
        <w:guid w:val="{C779D1DC-1F99-4BB6-843D-CB2BC89639AD}"/>
      </w:docPartPr>
      <w:docPartBody>
        <w:p w:rsidR="005636C4" w:rsidRDefault="008A0831">
          <w:pPr>
            <w:pStyle w:val="8329138AE66049E2AE4D460CF896E4F6"/>
          </w:pPr>
          <w:r w:rsidRPr="00812C84">
            <w:t>Company name</w:t>
          </w:r>
        </w:p>
      </w:docPartBody>
    </w:docPart>
    <w:docPart>
      <w:docPartPr>
        <w:name w:val="19EBEC5E3111458DA79B2769E178CC54"/>
        <w:category>
          <w:name w:val="General"/>
          <w:gallery w:val="placeholder"/>
        </w:category>
        <w:types>
          <w:type w:val="bbPlcHdr"/>
        </w:types>
        <w:behaviors>
          <w:behavior w:val="content"/>
        </w:behaviors>
        <w:guid w:val="{6B225635-D6D9-421C-9BA7-4ED7313233A4}"/>
      </w:docPartPr>
      <w:docPartBody>
        <w:p w:rsidR="005636C4" w:rsidRDefault="008A0831">
          <w:pPr>
            <w:pStyle w:val="19EBEC5E3111458DA79B2769E178CC54"/>
          </w:pPr>
          <w:r>
            <w:t>To:</w:t>
          </w:r>
        </w:p>
      </w:docPartBody>
    </w:docPart>
    <w:docPart>
      <w:docPartPr>
        <w:name w:val="7573897144004868A21CF21450D16644"/>
        <w:category>
          <w:name w:val="General"/>
          <w:gallery w:val="placeholder"/>
        </w:category>
        <w:types>
          <w:type w:val="bbPlcHdr"/>
        </w:types>
        <w:behaviors>
          <w:behavior w:val="content"/>
        </w:behaviors>
        <w:guid w:val="{2FEA0A05-865A-4A8C-988B-9D026DE7DBE5}"/>
      </w:docPartPr>
      <w:docPartBody>
        <w:p w:rsidR="005636C4" w:rsidRDefault="008A0831">
          <w:pPr>
            <w:pStyle w:val="7573897144004868A21CF21450D16644"/>
          </w:pPr>
          <w:r>
            <w:t xml:space="preserve">From: </w:t>
          </w:r>
        </w:p>
      </w:docPartBody>
    </w:docPart>
    <w:docPart>
      <w:docPartPr>
        <w:name w:val="255B616D77974043958178DDCCE82497"/>
        <w:category>
          <w:name w:val="General"/>
          <w:gallery w:val="placeholder"/>
        </w:category>
        <w:types>
          <w:type w:val="bbPlcHdr"/>
        </w:types>
        <w:behaviors>
          <w:behavior w:val="content"/>
        </w:behaviors>
        <w:guid w:val="{AC308927-70F8-4330-B133-CE9F62242637}"/>
      </w:docPartPr>
      <w:docPartBody>
        <w:p w:rsidR="005636C4" w:rsidRDefault="008A0831">
          <w:pPr>
            <w:pStyle w:val="255B616D77974043958178DDCCE82497"/>
          </w:pPr>
          <w:r>
            <w:t>Date:</w:t>
          </w:r>
        </w:p>
      </w:docPartBody>
    </w:docPart>
    <w:docPart>
      <w:docPartPr>
        <w:name w:val="7B55B654863F4FF8BB15C4DA5BE96AE5"/>
        <w:category>
          <w:name w:val="General"/>
          <w:gallery w:val="placeholder"/>
        </w:category>
        <w:types>
          <w:type w:val="bbPlcHdr"/>
        </w:types>
        <w:behaviors>
          <w:behavior w:val="content"/>
        </w:behaviors>
        <w:guid w:val="{6FB5C564-8766-4F7B-BA38-4F6B04167BD7}"/>
      </w:docPartPr>
      <w:docPartBody>
        <w:p w:rsidR="005636C4" w:rsidRDefault="008A0831">
          <w:pPr>
            <w:pStyle w:val="7B55B654863F4FF8BB15C4DA5BE96AE5"/>
          </w:pPr>
          <w:r>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31"/>
    <w:rsid w:val="00304C03"/>
    <w:rsid w:val="00405682"/>
    <w:rsid w:val="005636C4"/>
    <w:rsid w:val="005C0D72"/>
    <w:rsid w:val="007F241A"/>
    <w:rsid w:val="008A0831"/>
    <w:rsid w:val="00CB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F221B073E24086B54455FC13A608DF">
    <w:name w:val="C5F221B073E24086B54455FC13A608DF"/>
  </w:style>
  <w:style w:type="paragraph" w:customStyle="1" w:styleId="8329138AE66049E2AE4D460CF896E4F6">
    <w:name w:val="8329138AE66049E2AE4D460CF896E4F6"/>
  </w:style>
  <w:style w:type="paragraph" w:customStyle="1" w:styleId="19EBEC5E3111458DA79B2769E178CC54">
    <w:name w:val="19EBEC5E3111458DA79B2769E178CC54"/>
  </w:style>
  <w:style w:type="paragraph" w:customStyle="1" w:styleId="84617F58E5BC43F3B44B6B9B6C226640">
    <w:name w:val="84617F58E5BC43F3B44B6B9B6C226640"/>
  </w:style>
  <w:style w:type="paragraph" w:customStyle="1" w:styleId="7573897144004868A21CF21450D16644">
    <w:name w:val="7573897144004868A21CF21450D16644"/>
  </w:style>
  <w:style w:type="paragraph" w:customStyle="1" w:styleId="4FDEFB6710354E4D92166674861F916A">
    <w:name w:val="4FDEFB6710354E4D92166674861F916A"/>
  </w:style>
  <w:style w:type="paragraph" w:customStyle="1" w:styleId="A26A547E4C4A4881AF783E99DDFF77D6">
    <w:name w:val="A26A547E4C4A4881AF783E99DDFF77D6"/>
  </w:style>
  <w:style w:type="paragraph" w:customStyle="1" w:styleId="A296912936F5479DBA3FF39F8F00D3E5">
    <w:name w:val="A296912936F5479DBA3FF39F8F00D3E5"/>
  </w:style>
  <w:style w:type="paragraph" w:customStyle="1" w:styleId="255B616D77974043958178DDCCE82497">
    <w:name w:val="255B616D77974043958178DDCCE82497"/>
  </w:style>
  <w:style w:type="paragraph" w:customStyle="1" w:styleId="280F78C3967148AEB8145DED878CB23D">
    <w:name w:val="280F78C3967148AEB8145DED878CB23D"/>
  </w:style>
  <w:style w:type="paragraph" w:customStyle="1" w:styleId="7B55B654863F4FF8BB15C4DA5BE96AE5">
    <w:name w:val="7B55B654863F4FF8BB15C4DA5BE96AE5"/>
  </w:style>
  <w:style w:type="paragraph" w:customStyle="1" w:styleId="47EB9D30E77A490583F474BBCF20D555">
    <w:name w:val="47EB9D30E77A490583F474BBCF20D555"/>
  </w:style>
  <w:style w:type="paragraph" w:customStyle="1" w:styleId="1BE24E0740EC4F2AB0B2537187DD93F8">
    <w:name w:val="1BE24E0740EC4F2AB0B2537187DD93F8"/>
  </w:style>
  <w:style w:type="paragraph" w:customStyle="1" w:styleId="5B16C37BE5A6424CAEA3C8A49F45D297">
    <w:name w:val="5B16C37BE5A6424CAEA3C8A49F45D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6C7F84C19BD14BB7B5BD331C4E5C34" ma:contentTypeVersion="4" ma:contentTypeDescription="Create a new document." ma:contentTypeScope="" ma:versionID="628d38edf31a174cd49731d8c94cf444">
  <xsd:schema xmlns:xsd="http://www.w3.org/2001/XMLSchema" xmlns:xs="http://www.w3.org/2001/XMLSchema" xmlns:p="http://schemas.microsoft.com/office/2006/metadata/properties" xmlns:ns1="http://schemas.microsoft.com/sharepoint/v3" targetNamespace="http://schemas.microsoft.com/office/2006/metadata/properties" ma:root="true" ma:fieldsID="eadead4fc1bbd1a7d6d40bc5f940de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5B2A27-7E6E-4B70-885C-A81AC9A69C2A}">
  <ds:schemaRefs>
    <ds:schemaRef ds:uri="http://schemas.openxmlformats.org/officeDocument/2006/bibliography"/>
  </ds:schemaRefs>
</ds:datastoreItem>
</file>

<file path=customXml/itemProps2.xml><?xml version="1.0" encoding="utf-8"?>
<ds:datastoreItem xmlns:ds="http://schemas.openxmlformats.org/officeDocument/2006/customXml" ds:itemID="{5AD0FD68-4E4C-4916-9350-B24FFB747EFA}"/>
</file>

<file path=customXml/itemProps3.xml><?xml version="1.0" encoding="utf-8"?>
<ds:datastoreItem xmlns:ds="http://schemas.openxmlformats.org/officeDocument/2006/customXml" ds:itemID="{0FCE9788-E542-414A-8852-50C7F218E1B8}"/>
</file>

<file path=customXml/itemProps4.xml><?xml version="1.0" encoding="utf-8"?>
<ds:datastoreItem xmlns:ds="http://schemas.openxmlformats.org/officeDocument/2006/customXml" ds:itemID="{6CF00966-D77F-4588-A83E-B9800834A2A6}"/>
</file>

<file path=docProps/app.xml><?xml version="1.0" encoding="utf-8"?>
<Properties xmlns="http://schemas.openxmlformats.org/officeDocument/2006/extended-properties" xmlns:vt="http://schemas.openxmlformats.org/officeDocument/2006/docPropsVTypes">
  <Template>Memo (simple design)(2)</Template>
  <TotalTime>9</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1332 Pennsylvania CD 191201 dma</dc:title>
  <dc:subject/>
  <dc:creator>Administrator</dc:creator>
  <cp:keywords/>
  <dc:description/>
  <cp:lastModifiedBy>David Anderson</cp:lastModifiedBy>
  <cp:revision>4</cp:revision>
  <dcterms:created xsi:type="dcterms:W3CDTF">2019-11-21T17:46:00Z</dcterms:created>
  <dcterms:modified xsi:type="dcterms:W3CDTF">2019-12-01T15:46:00Z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0x010100F06C7F84C19BD14BB7B5BD331C4E5C34</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SeoKeywords">
    <vt:lpwstr/>
  </property>
  <property fmtid="{D5CDD505-2E9C-101B-9397-08002B2CF9AE}" pid="8" name="Order">
    <vt:r8>153400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xd_Signature">
    <vt:bool>false</vt:bool>
  </property>
  <property fmtid="{D5CDD505-2E9C-101B-9397-08002B2CF9AE}" pid="14" name="PublishingPageImage">
    <vt:lpwstr/>
  </property>
  <property fmtid="{D5CDD505-2E9C-101B-9397-08002B2CF9AE}" pid="15" name="SummaryLinks">
    <vt:lpwstr/>
  </property>
  <property fmtid="{D5CDD505-2E9C-101B-9397-08002B2CF9AE}" pid="16" name="RobotsNoIndex">
    <vt:bool>false</vt:bool>
  </property>
  <property fmtid="{D5CDD505-2E9C-101B-9397-08002B2CF9AE}" pid="17" name="xd_ProgID">
    <vt:lpwstr/>
  </property>
  <property fmtid="{D5CDD505-2E9C-101B-9397-08002B2CF9AE}" pid="18" name="SharedWithUsers">
    <vt:lpwstr/>
  </property>
  <property fmtid="{D5CDD505-2E9C-101B-9397-08002B2CF9AE}" pid="19" name="SeoMetaDescription">
    <vt:lpwstr/>
  </property>
  <property fmtid="{D5CDD505-2E9C-101B-9397-08002B2CF9AE}" pid="20" name="PublishingVariationRelationshipLinkFieldID">
    <vt:lpwstr/>
  </property>
  <property fmtid="{D5CDD505-2E9C-101B-9397-08002B2CF9AE}" pid="21" name="_SourceUrl">
    <vt:lpwstr/>
  </property>
  <property fmtid="{D5CDD505-2E9C-101B-9397-08002B2CF9AE}" pid="22" name="_SharedFileIndex">
    <vt:lpwstr/>
  </property>
  <property fmtid="{D5CDD505-2E9C-101B-9397-08002B2CF9AE}" pid="23" name="HeaderStyleDefinitions">
    <vt:lpwstr/>
  </property>
  <property fmtid="{D5CDD505-2E9C-101B-9397-08002B2CF9AE}" pid="24" name="TemplateUrl">
    <vt:lpwstr/>
  </property>
  <property fmtid="{D5CDD505-2E9C-101B-9397-08002B2CF9AE}" pid="25" name="Audience">
    <vt:lpwstr/>
  </property>
  <property fmtid="{D5CDD505-2E9C-101B-9397-08002B2CF9AE}" pid="26" name="PublishingImageCaption">
    <vt:lpwstr/>
  </property>
  <property fmtid="{D5CDD505-2E9C-101B-9397-08002B2CF9AE}" pid="27" name="PublishingIsFurlPage">
    <vt:bool>false</vt:bool>
  </property>
  <property fmtid="{D5CDD505-2E9C-101B-9397-08002B2CF9AE}" pid="28" name="PublishingContactPicture">
    <vt:lpwstr/>
  </property>
  <property fmtid="{D5CDD505-2E9C-101B-9397-08002B2CF9AE}" pid="29" name="PublishingVariationGroupID">
    <vt:lpwstr/>
  </property>
  <property fmtid="{D5CDD505-2E9C-101B-9397-08002B2CF9AE}" pid="30" name="PublishingContactName">
    <vt:lpwstr/>
  </property>
  <property fmtid="{D5CDD505-2E9C-101B-9397-08002B2CF9AE}" pid="31" name="Comments">
    <vt:lpwstr/>
  </property>
  <property fmtid="{D5CDD505-2E9C-101B-9397-08002B2CF9AE}" pid="32" name="PublishingPageLayout">
    <vt:lpwstr/>
  </property>
</Properties>
</file>