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704B" w14:textId="2A9655AA" w:rsidR="00CE2551" w:rsidRDefault="00ED0B25" w:rsidP="00A977AC">
      <w:pPr>
        <w:pStyle w:val="Heading1"/>
        <w:spacing w:before="0"/>
      </w:pPr>
      <w:r>
        <w:t xml:space="preserve"> Life PBR </w:t>
      </w:r>
      <w:r w:rsidR="00174E1E">
        <w:t xml:space="preserve">Statement of </w:t>
      </w:r>
      <w:r>
        <w:t>Exemption</w:t>
      </w:r>
    </w:p>
    <w:p w14:paraId="193427F3" w14:textId="6639E086" w:rsidR="00CE2551" w:rsidRPr="00A977AC" w:rsidRDefault="00CE2551" w:rsidP="00A977AC">
      <w:pPr>
        <w:spacing w:after="0"/>
        <w:jc w:val="center"/>
        <w:rPr>
          <w:sz w:val="24"/>
          <w:szCs w:val="24"/>
        </w:rPr>
      </w:pPr>
      <w:r w:rsidRPr="00A977AC">
        <w:rPr>
          <w:sz w:val="24"/>
          <w:szCs w:val="24"/>
        </w:rPr>
        <w:t xml:space="preserve">For Insurers Domiciled in </w:t>
      </w:r>
      <w:r w:rsidR="00B41FEB">
        <w:rPr>
          <w:sz w:val="24"/>
          <w:szCs w:val="24"/>
        </w:rPr>
        <w:t>Pennsylvania</w:t>
      </w:r>
    </w:p>
    <w:p w14:paraId="723D3060" w14:textId="363C7059" w:rsidR="00A977AC" w:rsidRDefault="00570B4D" w:rsidP="00A977AC">
      <w:pPr>
        <w:spacing w:after="0"/>
        <w:jc w:val="center"/>
        <w:rPr>
          <w:rFonts w:cs="Segoe UI"/>
        </w:rPr>
      </w:pPr>
      <w:r>
        <w:rPr>
          <w:rFonts w:cs="Segoe UI"/>
        </w:rPr>
        <w:t>(</w:t>
      </w:r>
      <w:r w:rsidR="002F2804">
        <w:rPr>
          <w:rFonts w:cs="Segoe UI"/>
        </w:rPr>
        <w:t xml:space="preserve">With Regard to </w:t>
      </w:r>
      <w:r>
        <w:rPr>
          <w:rFonts w:cs="Segoe UI"/>
        </w:rPr>
        <w:t>Policies Acquired in 202</w:t>
      </w:r>
      <w:r w:rsidR="007A3651">
        <w:rPr>
          <w:rFonts w:cs="Segoe UI"/>
        </w:rPr>
        <w:t>2</w:t>
      </w:r>
      <w:r>
        <w:rPr>
          <w:rFonts w:cs="Segoe UI"/>
        </w:rPr>
        <w:t>)</w:t>
      </w:r>
    </w:p>
    <w:p w14:paraId="06AFA8BE" w14:textId="77777777" w:rsidR="00570B4D" w:rsidRDefault="00570B4D" w:rsidP="00A977AC">
      <w:pPr>
        <w:spacing w:after="0"/>
        <w:jc w:val="center"/>
        <w:rPr>
          <w:rFonts w:cs="Segoe UI"/>
        </w:rPr>
      </w:pPr>
    </w:p>
    <w:p w14:paraId="11BF70FC" w14:textId="1A836E12" w:rsidR="00961424" w:rsidRPr="008E5851" w:rsidRDefault="00F05E37" w:rsidP="008E5851">
      <w:pPr>
        <w:jc w:val="center"/>
        <w:rPr>
          <w:rFonts w:cs="Segoe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61080F" wp14:editId="33484AC4">
                <wp:simplePos x="0" y="0"/>
                <wp:positionH relativeFrom="column">
                  <wp:posOffset>19050</wp:posOffset>
                </wp:positionH>
                <wp:positionV relativeFrom="paragraph">
                  <wp:posOffset>386080</wp:posOffset>
                </wp:positionV>
                <wp:extent cx="6715125" cy="2809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73347" w14:textId="77777777" w:rsidR="00235C14" w:rsidRDefault="00F05E37" w:rsidP="00F72596">
                            <w:pPr>
                              <w:spacing w:before="120" w:after="120" w:line="240" w:lineRule="auto"/>
                              <w:ind w:right="360"/>
                              <w:jc w:val="both"/>
                            </w:pPr>
                            <w:r w:rsidRPr="004660D5">
                              <w:t>A</w:t>
                            </w:r>
                            <w:r w:rsidR="00C05877">
                              <w:t xml:space="preserve">n insurer domiciled in </w:t>
                            </w:r>
                            <w:r w:rsidR="00B41FEB">
                              <w:t>Pennsylvania</w:t>
                            </w:r>
                            <w:r w:rsidR="00C05877">
                              <w:t xml:space="preserve"> planning </w:t>
                            </w:r>
                            <w:r w:rsidRPr="004660D5">
                              <w:t xml:space="preserve">to </w:t>
                            </w:r>
                            <w:r w:rsidR="00D27FF6">
                              <w:t>request</w:t>
                            </w:r>
                            <w:r w:rsidRPr="004660D5">
                              <w:t xml:space="preserve"> the Life </w:t>
                            </w:r>
                            <w:r w:rsidR="00C05877">
                              <w:t>Principle-Based Reserving</w:t>
                            </w:r>
                            <w:r w:rsidR="00293C46">
                              <w:t xml:space="preserve"> </w:t>
                            </w:r>
                            <w:r w:rsidR="00F17DCF">
                              <w:t xml:space="preserve">(PBR) </w:t>
                            </w:r>
                            <w:r w:rsidRPr="004660D5">
                              <w:t xml:space="preserve">Exemption for policies </w:t>
                            </w:r>
                            <w:r w:rsidR="00A92AC1">
                              <w:t>acquired</w:t>
                            </w:r>
                            <w:r w:rsidRPr="004660D5">
                              <w:t xml:space="preserve"> in the curren</w:t>
                            </w:r>
                            <w:r w:rsidR="00C05877">
                              <w:t xml:space="preserve">t calendar year must file this Statement of Exemption with the </w:t>
                            </w:r>
                            <w:r w:rsidR="00B41FEB">
                              <w:t>Commissioner</w:t>
                            </w:r>
                            <w:r w:rsidRPr="004660D5">
                              <w:t xml:space="preserve"> no later than June 30</w:t>
                            </w:r>
                            <w:r w:rsidRPr="00C05877">
                              <w:rPr>
                                <w:vertAlign w:val="superscript"/>
                              </w:rPr>
                              <w:t>th</w:t>
                            </w:r>
                            <w:r w:rsidR="00C05877">
                              <w:t xml:space="preserve"> of the current calendar year. The Statement of E</w:t>
                            </w:r>
                            <w:r w:rsidRPr="004660D5">
                              <w:t xml:space="preserve">xemption must also be included with the NAIC </w:t>
                            </w:r>
                            <w:r w:rsidR="007D25EC">
                              <w:t>Quarterly Financial Statement filing</w:t>
                            </w:r>
                            <w:r w:rsidRPr="004660D5">
                              <w:t xml:space="preserve"> for the second quarter of the calendar year. </w:t>
                            </w:r>
                            <w:r w:rsidRPr="004660D5">
                              <w:rPr>
                                <w:u w:val="single"/>
                              </w:rPr>
                              <w:t xml:space="preserve">Exemption requirements are found in Section </w:t>
                            </w:r>
                            <w:r w:rsidR="00B41FEB">
                              <w:rPr>
                                <w:u w:val="single"/>
                              </w:rPr>
                              <w:t>7142 of the Pennsylvania Standard Valuation Law.</w:t>
                            </w:r>
                            <w:r w:rsidRPr="004660D5">
                              <w:t xml:space="preserve"> </w:t>
                            </w:r>
                            <w:r w:rsidR="009E7D04">
                              <w:t xml:space="preserve"> </w:t>
                            </w:r>
                            <w:r w:rsidRPr="004660D5">
                              <w:t xml:space="preserve">Please complete the following information and submit this </w:t>
                            </w:r>
                            <w:r w:rsidR="007D25EC">
                              <w:t>S</w:t>
                            </w:r>
                            <w:r w:rsidRPr="004660D5">
                              <w:t xml:space="preserve">tatement of </w:t>
                            </w:r>
                            <w:r w:rsidR="007D25EC">
                              <w:t>E</w:t>
                            </w:r>
                            <w:r w:rsidRPr="004660D5">
                              <w:t xml:space="preserve">xemption </w:t>
                            </w:r>
                            <w:bookmarkStart w:id="0" w:name="_Hlk29994991"/>
                            <w:r w:rsidRPr="004660D5">
                              <w:t xml:space="preserve">by email </w:t>
                            </w:r>
                            <w:r w:rsidR="007D25EC">
                              <w:t xml:space="preserve">to </w:t>
                            </w:r>
                            <w:r w:rsidR="00B41FEB">
                              <w:t>the assigned financial analyst for the Pennsylvania domestic company.</w:t>
                            </w:r>
                            <w:bookmarkEnd w:id="0"/>
                          </w:p>
                          <w:p w14:paraId="5088FA56" w14:textId="6C98F32E" w:rsidR="00F05E37" w:rsidRDefault="00F05E37" w:rsidP="00F72596">
                            <w:pPr>
                              <w:spacing w:before="120" w:after="120" w:line="240" w:lineRule="auto"/>
                              <w:ind w:right="360"/>
                              <w:jc w:val="both"/>
                            </w:pPr>
                          </w:p>
                          <w:p w14:paraId="23AE8B7A" w14:textId="4AB03A7A" w:rsidR="00560D7C" w:rsidRDefault="00560D7C" w:rsidP="00F72596">
                            <w:pPr>
                              <w:spacing w:after="120" w:line="240" w:lineRule="auto"/>
                              <w:ind w:right="360"/>
                              <w:jc w:val="both"/>
                            </w:pPr>
                            <w:r w:rsidRPr="00F72596">
                              <w:rPr>
                                <w:b/>
                                <w:bCs/>
                              </w:rPr>
                              <w:t>Reminder:</w:t>
                            </w:r>
                            <w:r>
                              <w:t xml:space="preserve">  An exemption applies only to policies </w:t>
                            </w:r>
                            <w:r w:rsidR="00A92AC1">
                              <w:t>acquired</w:t>
                            </w:r>
                            <w:r>
                              <w:t xml:space="preserve"> in the calendar year o</w:t>
                            </w:r>
                            <w:r w:rsidR="007D25EC">
                              <w:t xml:space="preserve">f the </w:t>
                            </w:r>
                            <w:r w:rsidR="00D27FF6">
                              <w:t xml:space="preserve">request and </w:t>
                            </w:r>
                            <w:r w:rsidR="007D25EC">
                              <w:t>approval</w:t>
                            </w:r>
                            <w:r w:rsidR="00D91FE4" w:rsidRPr="00D91FE4">
                              <w:rPr>
                                <w:rFonts w:cs="Segoe UI"/>
                              </w:rPr>
                              <w:t>, and it applies to all future valuation dates for those policies</w:t>
                            </w:r>
                            <w:r w:rsidR="007D25EC" w:rsidRPr="00D91FE4">
                              <w:rPr>
                                <w:rFonts w:cs="Segoe UI"/>
                              </w:rPr>
                              <w:t>.</w:t>
                            </w:r>
                            <w:r w:rsidR="00A92AC1">
                              <w:rPr>
                                <w:rFonts w:cs="Segoe UI"/>
                              </w:rPr>
                              <w:t xml:space="preserve"> Please note that for the purposes of this exemption request the term “acquired” refers to any policy that was issued or assumed in the calendar year of the request.</w:t>
                            </w:r>
                            <w:r w:rsidR="007D25EC">
                              <w:t xml:space="preserve">  Statements of E</w:t>
                            </w:r>
                            <w:r>
                              <w:t xml:space="preserve">xemption must be filed for each calendar year on or after 2020 if the company plans to elect the Life PBR Exemption for policies </w:t>
                            </w:r>
                            <w:r w:rsidR="00A36F74">
                              <w:t>acquired</w:t>
                            </w:r>
                            <w:r>
                              <w:t xml:space="preserve"> in that calendar year.</w:t>
                            </w:r>
                          </w:p>
                          <w:p w14:paraId="1D54C1A7" w14:textId="77777777" w:rsidR="00560D7C" w:rsidRPr="004660D5" w:rsidRDefault="00560D7C" w:rsidP="00F05E37">
                            <w:pPr>
                              <w:spacing w:after="0" w:line="240" w:lineRule="auto"/>
                              <w:ind w:right="360"/>
                              <w:jc w:val="both"/>
                            </w:pPr>
                          </w:p>
                          <w:p w14:paraId="6D1F3B93" w14:textId="2D96D06D" w:rsidR="00F05E37" w:rsidRDefault="00F05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0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0.4pt;width:528.75pt;height:2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">
                <v:textbox>
                  <w:txbxContent>
                    <w:p w14:paraId="3E773347" w14:textId="77777777" w:rsidR="00235C14" w:rsidRDefault="00F05E37" w:rsidP="00F72596">
                      <w:pPr>
                        <w:spacing w:before="120" w:after="120" w:line="240" w:lineRule="auto"/>
                        <w:ind w:right="360"/>
                        <w:jc w:val="both"/>
                      </w:pPr>
                      <w:r w:rsidRPr="004660D5">
                        <w:t>A</w:t>
                      </w:r>
                      <w:r w:rsidR="00C05877">
                        <w:t xml:space="preserve">n insurer domiciled in </w:t>
                      </w:r>
                      <w:r w:rsidR="00B41FEB">
                        <w:t>Pennsylvania</w:t>
                      </w:r>
                      <w:r w:rsidR="00C05877">
                        <w:t xml:space="preserve"> planning </w:t>
                      </w:r>
                      <w:r w:rsidRPr="004660D5">
                        <w:t xml:space="preserve">to </w:t>
                      </w:r>
                      <w:r w:rsidR="00D27FF6">
                        <w:t>request</w:t>
                      </w:r>
                      <w:r w:rsidRPr="004660D5">
                        <w:t xml:space="preserve"> the Life </w:t>
                      </w:r>
                      <w:r w:rsidR="00C05877">
                        <w:t>Principle-Based Reserving</w:t>
                      </w:r>
                      <w:r w:rsidR="00293C46">
                        <w:t xml:space="preserve"> </w:t>
                      </w:r>
                      <w:r w:rsidR="00F17DCF">
                        <w:t xml:space="preserve">(PBR) </w:t>
                      </w:r>
                      <w:r w:rsidRPr="004660D5">
                        <w:t xml:space="preserve">Exemption for policies </w:t>
                      </w:r>
                      <w:r w:rsidR="00A92AC1">
                        <w:t>acquired</w:t>
                      </w:r>
                      <w:r w:rsidRPr="004660D5">
                        <w:t xml:space="preserve"> in the curren</w:t>
                      </w:r>
                      <w:r w:rsidR="00C05877">
                        <w:t xml:space="preserve">t calendar year must file this Statement of Exemption with the </w:t>
                      </w:r>
                      <w:r w:rsidR="00B41FEB">
                        <w:t>Commissioner</w:t>
                      </w:r>
                      <w:r w:rsidRPr="004660D5">
                        <w:t xml:space="preserve"> no later than June 30</w:t>
                      </w:r>
                      <w:r w:rsidRPr="00C05877">
                        <w:rPr>
                          <w:vertAlign w:val="superscript"/>
                        </w:rPr>
                        <w:t>th</w:t>
                      </w:r>
                      <w:r w:rsidR="00C05877">
                        <w:t xml:space="preserve"> of the current calendar year. The Statement of E</w:t>
                      </w:r>
                      <w:r w:rsidRPr="004660D5">
                        <w:t xml:space="preserve">xemption must also be included with the NAIC </w:t>
                      </w:r>
                      <w:r w:rsidR="007D25EC">
                        <w:t>Quarterly Financial Statement filing</w:t>
                      </w:r>
                      <w:r w:rsidRPr="004660D5">
                        <w:t xml:space="preserve"> for the second quarter of the calendar year. </w:t>
                      </w:r>
                      <w:r w:rsidRPr="004660D5">
                        <w:rPr>
                          <w:u w:val="single"/>
                        </w:rPr>
                        <w:t xml:space="preserve">Exemption requirements are found in Section </w:t>
                      </w:r>
                      <w:r w:rsidR="00B41FEB">
                        <w:rPr>
                          <w:u w:val="single"/>
                        </w:rPr>
                        <w:t>7142 of the Pennsylvania Standard Valuation Law.</w:t>
                      </w:r>
                      <w:r w:rsidRPr="004660D5">
                        <w:t xml:space="preserve"> </w:t>
                      </w:r>
                      <w:r w:rsidR="009E7D04">
                        <w:t xml:space="preserve"> </w:t>
                      </w:r>
                      <w:r w:rsidRPr="004660D5">
                        <w:t xml:space="preserve">Please complete the following information and submit this </w:t>
                      </w:r>
                      <w:r w:rsidR="007D25EC">
                        <w:t>S</w:t>
                      </w:r>
                      <w:r w:rsidRPr="004660D5">
                        <w:t xml:space="preserve">tatement of </w:t>
                      </w:r>
                      <w:r w:rsidR="007D25EC">
                        <w:t>E</w:t>
                      </w:r>
                      <w:r w:rsidRPr="004660D5">
                        <w:t xml:space="preserve">xemption </w:t>
                      </w:r>
                      <w:bookmarkStart w:id="1" w:name="_Hlk29994991"/>
                      <w:r w:rsidRPr="004660D5">
                        <w:t xml:space="preserve">by email </w:t>
                      </w:r>
                      <w:r w:rsidR="007D25EC">
                        <w:t xml:space="preserve">to </w:t>
                      </w:r>
                      <w:r w:rsidR="00B41FEB">
                        <w:t>the assigned financial analyst for the Pennsylvania domestic company.</w:t>
                      </w:r>
                      <w:bookmarkEnd w:id="1"/>
                    </w:p>
                    <w:p w14:paraId="5088FA56" w14:textId="6C98F32E" w:rsidR="00F05E37" w:rsidRDefault="00F05E37" w:rsidP="00F72596">
                      <w:pPr>
                        <w:spacing w:before="120" w:after="120" w:line="240" w:lineRule="auto"/>
                        <w:ind w:right="360"/>
                        <w:jc w:val="both"/>
                      </w:pPr>
                    </w:p>
                    <w:p w14:paraId="23AE8B7A" w14:textId="4AB03A7A" w:rsidR="00560D7C" w:rsidRDefault="00560D7C" w:rsidP="00F72596">
                      <w:pPr>
                        <w:spacing w:after="120" w:line="240" w:lineRule="auto"/>
                        <w:ind w:right="360"/>
                        <w:jc w:val="both"/>
                      </w:pPr>
                      <w:r w:rsidRPr="00F72596">
                        <w:rPr>
                          <w:b/>
                          <w:bCs/>
                        </w:rPr>
                        <w:t>Reminder:</w:t>
                      </w:r>
                      <w:r>
                        <w:t xml:space="preserve">  An exemption applies only to policies </w:t>
                      </w:r>
                      <w:r w:rsidR="00A92AC1">
                        <w:t>acquired</w:t>
                      </w:r>
                      <w:r>
                        <w:t xml:space="preserve"> in the calendar year o</w:t>
                      </w:r>
                      <w:r w:rsidR="007D25EC">
                        <w:t xml:space="preserve">f the </w:t>
                      </w:r>
                      <w:r w:rsidR="00D27FF6">
                        <w:t xml:space="preserve">request and </w:t>
                      </w:r>
                      <w:r w:rsidR="007D25EC">
                        <w:t>approval</w:t>
                      </w:r>
                      <w:r w:rsidR="00D91FE4" w:rsidRPr="00D91FE4">
                        <w:rPr>
                          <w:rFonts w:cs="Segoe UI"/>
                        </w:rPr>
                        <w:t>, and it applies to all future valuation dates for those policies</w:t>
                      </w:r>
                      <w:r w:rsidR="007D25EC" w:rsidRPr="00D91FE4">
                        <w:rPr>
                          <w:rFonts w:cs="Segoe UI"/>
                        </w:rPr>
                        <w:t>.</w:t>
                      </w:r>
                      <w:r w:rsidR="00A92AC1">
                        <w:rPr>
                          <w:rFonts w:cs="Segoe UI"/>
                        </w:rPr>
                        <w:t xml:space="preserve"> Please note that for the purposes of this exemption request the term “acquired” refers to any policy that was issued or assumed in the calendar year of the request.</w:t>
                      </w:r>
                      <w:r w:rsidR="007D25EC">
                        <w:t xml:space="preserve">  Statements of E</w:t>
                      </w:r>
                      <w:r>
                        <w:t xml:space="preserve">xemption must be filed for each calendar year on or after 2020 if the company plans to elect the Life PBR Exemption for policies </w:t>
                      </w:r>
                      <w:r w:rsidR="00A36F74">
                        <w:t>acquired</w:t>
                      </w:r>
                      <w:r>
                        <w:t xml:space="preserve"> in that calendar year.</w:t>
                      </w:r>
                    </w:p>
                    <w:p w14:paraId="1D54C1A7" w14:textId="77777777" w:rsidR="00560D7C" w:rsidRPr="004660D5" w:rsidRDefault="00560D7C" w:rsidP="00F05E37">
                      <w:pPr>
                        <w:spacing w:after="0" w:line="240" w:lineRule="auto"/>
                        <w:ind w:right="360"/>
                        <w:jc w:val="both"/>
                      </w:pPr>
                    </w:p>
                    <w:p w14:paraId="6D1F3B93" w14:textId="2D96D06D" w:rsidR="00F05E37" w:rsidRDefault="00F05E37"/>
                  </w:txbxContent>
                </v:textbox>
                <w10:wrap type="square"/>
              </v:shape>
            </w:pict>
          </mc:Fallback>
        </mc:AlternateContent>
      </w:r>
      <w:r w:rsidR="00CE2551">
        <w:rPr>
          <w:rFonts w:cs="Segoe UI"/>
        </w:rPr>
        <w:t>T</w:t>
      </w:r>
      <w:r w:rsidR="00ED0B25">
        <w:rPr>
          <w:rFonts w:cs="Segoe UI"/>
        </w:rPr>
        <w:t xml:space="preserve">o be </w:t>
      </w:r>
      <w:r w:rsidR="00ED0B25" w:rsidRPr="004660D5">
        <w:rPr>
          <w:rFonts w:cs="Segoe UI"/>
          <w:sz w:val="24"/>
          <w:szCs w:val="24"/>
        </w:rPr>
        <w:t>filed</w:t>
      </w:r>
      <w:r w:rsidR="00CE2551">
        <w:rPr>
          <w:rFonts w:cs="Segoe UI"/>
        </w:rPr>
        <w:t xml:space="preserve"> </w:t>
      </w:r>
      <w:r w:rsidR="00ED0B25">
        <w:rPr>
          <w:rFonts w:cs="Segoe UI"/>
        </w:rPr>
        <w:t>before July 1</w:t>
      </w:r>
      <w:r w:rsidR="005A3B95">
        <w:rPr>
          <w:rFonts w:cs="Segoe UI"/>
        </w:rPr>
        <w:t>, 202</w:t>
      </w:r>
      <w:r w:rsidR="007A3651">
        <w:rPr>
          <w:rFonts w:cs="Segoe UI"/>
        </w:rPr>
        <w:t>2</w:t>
      </w:r>
    </w:p>
    <w:p w14:paraId="601EEDF1" w14:textId="63D3AAFD" w:rsidR="00F05E37" w:rsidRDefault="00F05E37" w:rsidP="00F05E37">
      <w:pPr>
        <w:spacing w:before="120" w:after="120" w:line="240" w:lineRule="auto"/>
        <w:ind w:right="360"/>
        <w:jc w:val="both"/>
      </w:pPr>
    </w:p>
    <w:p w14:paraId="1B25F226" w14:textId="2C4B1F1E" w:rsidR="00C05877" w:rsidRPr="00C05877" w:rsidRDefault="00C05877" w:rsidP="0018455E">
      <w:pPr>
        <w:spacing w:before="120" w:after="120" w:line="360" w:lineRule="auto"/>
        <w:ind w:right="360"/>
        <w:jc w:val="both"/>
        <w:rPr>
          <w:b/>
        </w:rPr>
      </w:pPr>
      <w:r>
        <w:rPr>
          <w:b/>
        </w:rPr>
        <w:t>Company I</w:t>
      </w:r>
      <w:r w:rsidRPr="00C05877">
        <w:rPr>
          <w:b/>
        </w:rPr>
        <w:t>nformation:</w:t>
      </w:r>
    </w:p>
    <w:p w14:paraId="3B879716" w14:textId="643688AB" w:rsidR="00354B9B" w:rsidRPr="00F05E37" w:rsidRDefault="001E0DF4" w:rsidP="0018455E">
      <w:pPr>
        <w:spacing w:before="120" w:after="120" w:line="360" w:lineRule="auto"/>
        <w:ind w:right="360"/>
        <w:jc w:val="both"/>
        <w:rPr>
          <w:sz w:val="20"/>
          <w:szCs w:val="20"/>
        </w:rPr>
      </w:pPr>
      <w:r>
        <w:t>Year for which the statement of exemption applies</w:t>
      </w:r>
      <w:r w:rsidR="00354B9B">
        <w:t xml:space="preserve"> __________   NAIC</w:t>
      </w:r>
      <w:r w:rsidRPr="0077748E">
        <w:rPr>
          <w:spacing w:val="-1"/>
        </w:rPr>
        <w:t xml:space="preserve"> </w:t>
      </w:r>
      <w:r w:rsidR="00354B9B">
        <w:t xml:space="preserve"># </w:t>
      </w:r>
      <w:r w:rsidR="00354B9B" w:rsidRPr="00354B9B">
        <w:t>__________</w:t>
      </w:r>
      <w:r w:rsidR="00354B9B">
        <w:t xml:space="preserve">   NAIC Group # __________</w:t>
      </w:r>
    </w:p>
    <w:p w14:paraId="7BFA886D" w14:textId="303FB20E" w:rsidR="00354B9B" w:rsidRDefault="001E0DF4" w:rsidP="0018455E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120" w:line="360" w:lineRule="auto"/>
        <w:ind w:right="172"/>
        <w:jc w:val="both"/>
      </w:pPr>
      <w:r w:rsidRPr="0077748E">
        <w:rPr>
          <w:u w:val="none"/>
        </w:rPr>
        <w:t>Company</w:t>
      </w:r>
      <w:r w:rsidRPr="0077748E">
        <w:rPr>
          <w:spacing w:val="-5"/>
          <w:u w:val="none"/>
        </w:rPr>
        <w:t xml:space="preserve"> </w:t>
      </w:r>
      <w:r w:rsidRPr="0077748E">
        <w:rPr>
          <w:u w:val="none"/>
        </w:rPr>
        <w:t>Name</w:t>
      </w:r>
      <w:r w:rsidRPr="0077748E">
        <w:rPr>
          <w:spacing w:val="-1"/>
          <w:u w:val="none"/>
        </w:rPr>
        <w:t xml:space="preserve"> </w:t>
      </w:r>
      <w:r w:rsidRPr="0077748E">
        <w:tab/>
      </w:r>
      <w:r w:rsidRPr="0077748E">
        <w:tab/>
      </w:r>
      <w:r w:rsidR="00354B9B" w:rsidRPr="0077748E">
        <w:tab/>
      </w:r>
      <w:r w:rsidR="00354B9B">
        <w:t>_________________</w:t>
      </w:r>
    </w:p>
    <w:p w14:paraId="0886868C" w14:textId="0FAFFD8B" w:rsidR="00354B9B" w:rsidRPr="00354B9B" w:rsidRDefault="001E0DF4" w:rsidP="0018455E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120" w:line="360" w:lineRule="auto"/>
        <w:ind w:right="172"/>
        <w:jc w:val="both"/>
      </w:pPr>
      <w:r w:rsidRPr="0077748E">
        <w:rPr>
          <w:u w:val="none"/>
        </w:rPr>
        <w:t>Address</w:t>
      </w:r>
      <w:r w:rsidR="0018455E">
        <w:rPr>
          <w:u w:val="none"/>
        </w:rPr>
        <w:t xml:space="preserve"> </w:t>
      </w:r>
      <w:r w:rsidRPr="0077748E">
        <w:tab/>
      </w:r>
      <w:r w:rsidRPr="0077748E">
        <w:tab/>
      </w:r>
      <w:r w:rsidRPr="0077748E">
        <w:tab/>
      </w:r>
      <w:r w:rsidR="00354B9B">
        <w:t>_________________</w:t>
      </w:r>
    </w:p>
    <w:p w14:paraId="6D089325" w14:textId="0725CCDC" w:rsidR="001E0DF4" w:rsidRDefault="001E0DF4" w:rsidP="00D91FE4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240" w:line="360" w:lineRule="auto"/>
        <w:ind w:right="173"/>
        <w:jc w:val="both"/>
        <w:rPr>
          <w:w w:val="46"/>
        </w:rPr>
      </w:pPr>
      <w:r w:rsidRPr="0077748E">
        <w:rPr>
          <w:u w:val="none"/>
        </w:rPr>
        <w:t>City</w:t>
      </w:r>
      <w:r w:rsidRPr="0077748E">
        <w:t xml:space="preserve"> </w:t>
      </w:r>
      <w:r w:rsidRPr="0077748E">
        <w:tab/>
      </w:r>
      <w:r w:rsidR="00354B9B">
        <w:t>_____________</w:t>
      </w:r>
      <w:r w:rsidR="00F05E37">
        <w:t>__</w:t>
      </w:r>
      <w:r w:rsidRPr="0077748E">
        <w:rPr>
          <w:u w:val="none"/>
        </w:rPr>
        <w:t>State</w:t>
      </w:r>
      <w:r w:rsidRPr="0077748E">
        <w:t xml:space="preserve"> </w:t>
      </w:r>
      <w:r w:rsidRPr="0077748E">
        <w:tab/>
      </w:r>
      <w:r w:rsidR="00354B9B">
        <w:t>______</w:t>
      </w:r>
      <w:r w:rsidR="00F05E37">
        <w:t>__</w:t>
      </w:r>
      <w:r w:rsidRPr="0077748E">
        <w:rPr>
          <w:u w:val="none"/>
        </w:rPr>
        <w:t>Zip</w:t>
      </w:r>
      <w:r w:rsidRPr="0077748E">
        <w:t xml:space="preserve"> </w:t>
      </w:r>
      <w:r w:rsidRPr="0077748E">
        <w:tab/>
      </w:r>
      <w:r w:rsidR="00354B9B">
        <w:t>__________</w:t>
      </w:r>
      <w:r w:rsidR="00F05E37">
        <w:rPr>
          <w:w w:val="46"/>
        </w:rPr>
        <w:t>_______________</w:t>
      </w:r>
    </w:p>
    <w:p w14:paraId="5030D03D" w14:textId="19FFCA0C" w:rsidR="00A66B34" w:rsidRPr="00F72596" w:rsidRDefault="00A66B34" w:rsidP="00F72596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120" w:line="360" w:lineRule="auto"/>
        <w:jc w:val="both"/>
        <w:rPr>
          <w:b/>
          <w:bCs/>
          <w:u w:val="none"/>
        </w:rPr>
      </w:pPr>
      <w:r w:rsidRPr="00F72596">
        <w:rPr>
          <w:b/>
          <w:bCs/>
          <w:u w:val="none"/>
        </w:rPr>
        <w:t>Contact information for individual signing statement</w:t>
      </w:r>
      <w:r w:rsidR="003B4496">
        <w:rPr>
          <w:b/>
          <w:bCs/>
          <w:u w:val="none"/>
        </w:rPr>
        <w:t>:</w:t>
      </w:r>
    </w:p>
    <w:p w14:paraId="3F688417" w14:textId="0DF29621" w:rsidR="00744108" w:rsidRDefault="00A66B34" w:rsidP="0018455E">
      <w:pPr>
        <w:pStyle w:val="BodyText"/>
        <w:tabs>
          <w:tab w:val="left" w:pos="5313"/>
          <w:tab w:val="left" w:pos="7665"/>
          <w:tab w:val="left" w:pos="10921"/>
        </w:tabs>
        <w:spacing w:before="120" w:after="120" w:line="360" w:lineRule="auto"/>
        <w:jc w:val="both"/>
        <w:rPr>
          <w:u w:val="none"/>
        </w:rPr>
      </w:pPr>
      <w:r>
        <w:rPr>
          <w:u w:val="none"/>
        </w:rPr>
        <w:t>Name</w:t>
      </w:r>
      <w:r w:rsidR="0018455E">
        <w:rPr>
          <w:u w:val="none"/>
        </w:rPr>
        <w:t xml:space="preserve"> </w:t>
      </w:r>
      <w:r w:rsidR="00F05E37" w:rsidRPr="00F05E37">
        <w:rPr>
          <w:u w:val="none"/>
        </w:rPr>
        <w:t>_________________________</w:t>
      </w:r>
      <w:r w:rsidR="00744108">
        <w:rPr>
          <w:u w:val="none"/>
        </w:rPr>
        <w:t>____________________________</w:t>
      </w:r>
      <w:r w:rsidR="00F05E37" w:rsidRPr="00F05E37">
        <w:rPr>
          <w:u w:val="none"/>
        </w:rPr>
        <w:t xml:space="preserve"> </w:t>
      </w:r>
      <w:r w:rsidR="00F05E37">
        <w:rPr>
          <w:u w:val="none"/>
        </w:rPr>
        <w:t>Phone</w:t>
      </w:r>
      <w:r w:rsidR="0018455E">
        <w:rPr>
          <w:u w:val="none"/>
        </w:rPr>
        <w:t xml:space="preserve"> </w:t>
      </w:r>
      <w:r w:rsidR="001E0DF4" w:rsidRPr="0077748E">
        <w:tab/>
      </w:r>
      <w:r w:rsidR="00F05E37">
        <w:t>___________</w:t>
      </w:r>
      <w:r w:rsidR="00744108">
        <w:rPr>
          <w:u w:val="none"/>
        </w:rPr>
        <w:t>_________________</w:t>
      </w:r>
    </w:p>
    <w:p w14:paraId="7D01DA24" w14:textId="1A1CA1AA" w:rsidR="001E0DF4" w:rsidRPr="0077748E" w:rsidRDefault="001E0DF4" w:rsidP="00D91FE4">
      <w:pPr>
        <w:pStyle w:val="BodyText"/>
        <w:tabs>
          <w:tab w:val="left" w:pos="5313"/>
          <w:tab w:val="left" w:pos="7665"/>
          <w:tab w:val="left" w:pos="10921"/>
        </w:tabs>
        <w:spacing w:before="120" w:after="240" w:line="360" w:lineRule="auto"/>
        <w:jc w:val="both"/>
        <w:rPr>
          <w:u w:val="none"/>
        </w:rPr>
      </w:pPr>
      <w:r w:rsidRPr="0077748E">
        <w:rPr>
          <w:u w:val="none"/>
        </w:rPr>
        <w:t>Email</w:t>
      </w:r>
      <w:r w:rsidRPr="0077748E">
        <w:t xml:space="preserve"> </w:t>
      </w:r>
      <w:r w:rsidRPr="0077748E">
        <w:tab/>
      </w:r>
      <w:r w:rsidR="00F05E37">
        <w:t>____________________________</w:t>
      </w:r>
      <w:r w:rsidR="00744108">
        <w:t>__________________________</w:t>
      </w:r>
    </w:p>
    <w:p w14:paraId="3AC6A5D0" w14:textId="77777777" w:rsidR="00C05877" w:rsidRPr="002F3734" w:rsidRDefault="00C05877" w:rsidP="00C05877">
      <w:pPr>
        <w:spacing w:line="240" w:lineRule="auto"/>
        <w:ind w:right="360"/>
        <w:jc w:val="both"/>
        <w:rPr>
          <w:b/>
          <w:bCs/>
          <w:sz w:val="24"/>
          <w:szCs w:val="24"/>
        </w:rPr>
      </w:pPr>
      <w:r w:rsidRPr="002F3734">
        <w:rPr>
          <w:b/>
          <w:bCs/>
          <w:sz w:val="24"/>
          <w:szCs w:val="24"/>
        </w:rPr>
        <w:t>Policies Covered by this Statement:</w:t>
      </w:r>
    </w:p>
    <w:p w14:paraId="71D3DE6C" w14:textId="4514FF94" w:rsidR="00C05877" w:rsidRPr="002F3734" w:rsidRDefault="007A3651" w:rsidP="00C05877">
      <w:pPr>
        <w:spacing w:line="240" w:lineRule="auto"/>
        <w:ind w:right="360"/>
        <w:jc w:val="both"/>
      </w:pPr>
      <w:sdt>
        <w:sdtPr>
          <w:id w:val="1864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77">
            <w:rPr>
              <w:rFonts w:ascii="MS Gothic" w:eastAsia="MS Gothic" w:hAnsi="MS Gothic" w:hint="eastAsia"/>
            </w:rPr>
            <w:t>☐</w:t>
          </w:r>
        </w:sdtContent>
      </w:sdt>
      <w:r w:rsidR="00C05877" w:rsidRPr="002F3734">
        <w:t xml:space="preserve">All policies </w:t>
      </w:r>
      <w:r w:rsidR="00A36F74">
        <w:t>acquired</w:t>
      </w:r>
      <w:r w:rsidR="00C05877" w:rsidRPr="002F3734">
        <w:t xml:space="preserve"> in the current calendar year that would otherwise be subject to VM-20.</w:t>
      </w:r>
    </w:p>
    <w:p w14:paraId="6808C879" w14:textId="4D4F4581" w:rsidR="00C05877" w:rsidRDefault="007A3651" w:rsidP="00C05877">
      <w:pPr>
        <w:spacing w:before="120" w:after="120" w:line="240" w:lineRule="auto"/>
        <w:ind w:right="360"/>
        <w:jc w:val="both"/>
      </w:pPr>
      <w:sdt>
        <w:sdtPr>
          <w:id w:val="-166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77">
            <w:rPr>
              <w:rFonts w:ascii="MS Gothic" w:eastAsia="MS Gothic" w:hAnsi="MS Gothic" w:hint="eastAsia"/>
            </w:rPr>
            <w:t>☐</w:t>
          </w:r>
        </w:sdtContent>
      </w:sdt>
      <w:r w:rsidR="00C05877" w:rsidRPr="002F3734">
        <w:t xml:space="preserve">All policies </w:t>
      </w:r>
      <w:r w:rsidR="00A36F74">
        <w:t>acquired</w:t>
      </w:r>
      <w:r w:rsidR="00C05877" w:rsidRPr="002F3734">
        <w:t xml:space="preserve"> in the current calendar year that would otherwise be subject to VM-20, </w:t>
      </w:r>
    </w:p>
    <w:p w14:paraId="3D3E1853" w14:textId="5CA594CE" w:rsidR="0056450C" w:rsidRDefault="00C05877">
      <w:pPr>
        <w:rPr>
          <w:b/>
          <w:bCs/>
          <w:sz w:val="24"/>
          <w:szCs w:val="24"/>
        </w:rPr>
      </w:pPr>
      <w:r w:rsidRPr="002F3734">
        <w:t>excluding</w:t>
      </w:r>
      <w:r>
        <w:t xml:space="preserve"> </w:t>
      </w:r>
      <w:r w:rsidRPr="002F3734">
        <w:t>_______________________________________________________________________________________________________</w:t>
      </w:r>
    </w:p>
    <w:p w14:paraId="62871A79" w14:textId="77777777" w:rsidR="000226A0" w:rsidRDefault="00022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F19B50" w14:textId="0A9A74FF" w:rsidR="00594416" w:rsidRPr="002F3734" w:rsidRDefault="0018455E" w:rsidP="00D76550">
      <w:pPr>
        <w:spacing w:after="120"/>
        <w:rPr>
          <w:b/>
          <w:bCs/>
          <w:sz w:val="24"/>
          <w:szCs w:val="24"/>
        </w:rPr>
      </w:pPr>
      <w:r w:rsidRPr="002F3734">
        <w:rPr>
          <w:b/>
          <w:bCs/>
          <w:sz w:val="24"/>
          <w:szCs w:val="24"/>
        </w:rPr>
        <w:lastRenderedPageBreak/>
        <w:t xml:space="preserve">Information </w:t>
      </w:r>
      <w:r w:rsidR="00C05877">
        <w:rPr>
          <w:b/>
          <w:bCs/>
          <w:sz w:val="24"/>
          <w:szCs w:val="24"/>
        </w:rPr>
        <w:t xml:space="preserve">required for </w:t>
      </w:r>
      <w:r w:rsidR="00CD4387">
        <w:rPr>
          <w:b/>
          <w:bCs/>
          <w:sz w:val="24"/>
          <w:szCs w:val="24"/>
        </w:rPr>
        <w:t>Pennsylvania</w:t>
      </w:r>
      <w:r w:rsidRPr="002F3734">
        <w:rPr>
          <w:b/>
          <w:bCs/>
          <w:sz w:val="24"/>
          <w:szCs w:val="24"/>
        </w:rPr>
        <w:t xml:space="preserve"> to consider the Life PBR Exemption:</w:t>
      </w: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5395"/>
        <w:gridCol w:w="2610"/>
        <w:gridCol w:w="2340"/>
      </w:tblGrid>
      <w:tr w:rsidR="00A15F99" w:rsidRPr="00A15F99" w14:paraId="5475BCCC" w14:textId="77777777" w:rsidTr="00A057DD">
        <w:tc>
          <w:tcPr>
            <w:tcW w:w="5395" w:type="dxa"/>
          </w:tcPr>
          <w:p w14:paraId="6029DF82" w14:textId="77777777" w:rsidR="00A15F99" w:rsidRPr="00A15F99" w:rsidRDefault="00A15F99" w:rsidP="002F3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707523" w14:textId="55A30446" w:rsidR="00A15F99" w:rsidRPr="00A15F99" w:rsidRDefault="00A15F99" w:rsidP="002F3734">
            <w:pPr>
              <w:jc w:val="center"/>
              <w:rPr>
                <w:sz w:val="20"/>
                <w:szCs w:val="20"/>
              </w:rPr>
            </w:pPr>
            <w:r w:rsidRPr="00A15F99">
              <w:rPr>
                <w:sz w:val="20"/>
                <w:szCs w:val="20"/>
              </w:rPr>
              <w:t>Individual Company</w:t>
            </w:r>
          </w:p>
        </w:tc>
        <w:tc>
          <w:tcPr>
            <w:tcW w:w="2340" w:type="dxa"/>
          </w:tcPr>
          <w:p w14:paraId="124AA3AC" w14:textId="7F9E69E9" w:rsidR="00A15F99" w:rsidRPr="00A15F99" w:rsidRDefault="00656042" w:rsidP="002F3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NAIC </w:t>
            </w:r>
            <w:r w:rsidR="00A15F99" w:rsidRPr="00A15F99">
              <w:rPr>
                <w:sz w:val="20"/>
                <w:szCs w:val="20"/>
              </w:rPr>
              <w:t>Group</w:t>
            </w:r>
          </w:p>
        </w:tc>
      </w:tr>
      <w:tr w:rsidR="00A15F99" w:rsidRPr="00A15F99" w14:paraId="689C7BB4" w14:textId="77777777" w:rsidTr="00A057DD">
        <w:trPr>
          <w:trHeight w:val="773"/>
        </w:trPr>
        <w:tc>
          <w:tcPr>
            <w:tcW w:w="5395" w:type="dxa"/>
          </w:tcPr>
          <w:p w14:paraId="6EE176BF" w14:textId="67CCFAE7" w:rsidR="00A15F99" w:rsidRPr="00A15F99" w:rsidRDefault="00A15F99" w:rsidP="00E42F83">
            <w:pPr>
              <w:pStyle w:val="ListParagraph"/>
              <w:numPr>
                <w:ilvl w:val="0"/>
                <w:numId w:val="14"/>
              </w:numPr>
              <w:ind w:right="-86"/>
              <w:rPr>
                <w:rFonts w:cs="Segoe UI"/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 xml:space="preserve">Direct plus assumed from unaffiliated </w:t>
            </w:r>
            <w:proofErr w:type="gramStart"/>
            <w:r w:rsidRPr="00A15F99">
              <w:rPr>
                <w:rFonts w:cs="Segoe UI"/>
                <w:sz w:val="20"/>
                <w:szCs w:val="20"/>
              </w:rPr>
              <w:t>companies</w:t>
            </w:r>
            <w:proofErr w:type="gramEnd"/>
            <w:r w:rsidRPr="00A15F99">
              <w:rPr>
                <w:rFonts w:cs="Segoe UI"/>
                <w:sz w:val="20"/>
                <w:szCs w:val="20"/>
              </w:rPr>
              <w:t xml:space="preserve"> ordinary life premium as reported in Exhibit 1 Part 1, Column 3 in the prior year annual statement</w:t>
            </w:r>
          </w:p>
        </w:tc>
        <w:tc>
          <w:tcPr>
            <w:tcW w:w="2610" w:type="dxa"/>
            <w:vAlign w:val="bottom"/>
          </w:tcPr>
          <w:p w14:paraId="5A956071" w14:textId="5F32E969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FA1ADFC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4BCCD104" w14:textId="77777777" w:rsidTr="00A057DD">
        <w:tc>
          <w:tcPr>
            <w:tcW w:w="5395" w:type="dxa"/>
          </w:tcPr>
          <w:p w14:paraId="5478F5D7" w14:textId="59985633" w:rsidR="00A15F99" w:rsidRPr="00A15F99" w:rsidRDefault="00A15F99" w:rsidP="00E42F83">
            <w:pPr>
              <w:pStyle w:val="ListParagraph"/>
              <w:numPr>
                <w:ilvl w:val="0"/>
                <w:numId w:val="14"/>
              </w:numPr>
              <w:ind w:right="-86"/>
              <w:rPr>
                <w:rFonts w:cs="Segoe UI"/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>Confirm the year of the annual statement for reconciling the amounts reported in (A)</w:t>
            </w:r>
          </w:p>
        </w:tc>
        <w:tc>
          <w:tcPr>
            <w:tcW w:w="2610" w:type="dxa"/>
            <w:vAlign w:val="bottom"/>
          </w:tcPr>
          <w:p w14:paraId="3F7C21EE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82E85B9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5402178B" w14:textId="77777777" w:rsidTr="00A057DD">
        <w:tc>
          <w:tcPr>
            <w:tcW w:w="5395" w:type="dxa"/>
          </w:tcPr>
          <w:p w14:paraId="0EEBB224" w14:textId="09654F37" w:rsidR="00A15F99" w:rsidRPr="00A15F99" w:rsidRDefault="00A15F99" w:rsidP="00D7655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>Portion of (A) that represent the transfer of reserves in force as of the effective date of a reinsurance assumed transaction</w:t>
            </w:r>
            <w:r w:rsidR="00D76550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14:paraId="031DC9FA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8DA2675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37A3849D" w14:textId="77777777" w:rsidTr="00A057DD">
        <w:tc>
          <w:tcPr>
            <w:tcW w:w="5395" w:type="dxa"/>
          </w:tcPr>
          <w:p w14:paraId="214D0875" w14:textId="46A0BDE4" w:rsidR="00A15F99" w:rsidRPr="00A15F99" w:rsidRDefault="00A15F99" w:rsidP="00A15F9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 xml:space="preserve">Premium amount used for consideration under Section </w:t>
            </w:r>
            <w:r w:rsidR="00CD4387">
              <w:rPr>
                <w:rFonts w:cs="Segoe UI"/>
                <w:sz w:val="20"/>
                <w:szCs w:val="20"/>
              </w:rPr>
              <w:t xml:space="preserve">7142 of </w:t>
            </w:r>
            <w:r w:rsidR="00BB3222">
              <w:rPr>
                <w:rFonts w:cs="Segoe UI"/>
                <w:sz w:val="20"/>
                <w:szCs w:val="20"/>
              </w:rPr>
              <w:t xml:space="preserve">the </w:t>
            </w:r>
            <w:r w:rsidR="00CD4387">
              <w:rPr>
                <w:rFonts w:cs="Segoe UI"/>
                <w:sz w:val="20"/>
                <w:szCs w:val="20"/>
              </w:rPr>
              <w:t>P</w:t>
            </w:r>
            <w:r w:rsidR="006151EF">
              <w:rPr>
                <w:rFonts w:cs="Segoe UI"/>
                <w:sz w:val="20"/>
                <w:szCs w:val="20"/>
              </w:rPr>
              <w:t>ennsylvania</w:t>
            </w:r>
            <w:r w:rsidR="00CD4387">
              <w:rPr>
                <w:rFonts w:cs="Segoe UI"/>
                <w:sz w:val="20"/>
                <w:szCs w:val="20"/>
              </w:rPr>
              <w:t xml:space="preserve"> Standard Valuation </w:t>
            </w:r>
            <w:proofErr w:type="gramStart"/>
            <w:r w:rsidR="00CD4387">
              <w:rPr>
                <w:rFonts w:cs="Segoe UI"/>
                <w:sz w:val="20"/>
                <w:szCs w:val="20"/>
              </w:rPr>
              <w:t>Law,  D</w:t>
            </w:r>
            <w:proofErr w:type="gramEnd"/>
            <w:r w:rsidRPr="00A15F99">
              <w:rPr>
                <w:rFonts w:cs="Segoe UI"/>
                <w:sz w:val="20"/>
                <w:szCs w:val="20"/>
              </w:rPr>
              <w:t xml:space="preserve"> = A – C </w:t>
            </w:r>
          </w:p>
        </w:tc>
        <w:tc>
          <w:tcPr>
            <w:tcW w:w="2610" w:type="dxa"/>
            <w:vAlign w:val="bottom"/>
          </w:tcPr>
          <w:p w14:paraId="234A36B7" w14:textId="77777777" w:rsidR="00A15F99" w:rsidRPr="00744108" w:rsidRDefault="00A15F99" w:rsidP="00A15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7121C585" w14:textId="77777777" w:rsidR="00A15F99" w:rsidRPr="00744108" w:rsidRDefault="00A15F99" w:rsidP="00A15F99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248F4C24" w14:textId="77777777" w:rsidTr="00A057DD">
        <w:tc>
          <w:tcPr>
            <w:tcW w:w="5395" w:type="dxa"/>
          </w:tcPr>
          <w:p w14:paraId="424ADDBC" w14:textId="02EA5D34" w:rsidR="00A15F99" w:rsidRPr="00A15F99" w:rsidRDefault="002734B6" w:rsidP="00A15F9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Confirmation that </w:t>
            </w:r>
            <w:proofErr w:type="gramStart"/>
            <w:r>
              <w:rPr>
                <w:rFonts w:cs="Segoe UI"/>
                <w:b/>
                <w:bCs/>
                <w:sz w:val="20"/>
                <w:szCs w:val="20"/>
              </w:rPr>
              <w:t>amount</w:t>
            </w:r>
            <w:proofErr w:type="gramEnd"/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in (</w:t>
            </w:r>
            <w:r w:rsidR="00065627">
              <w:rPr>
                <w:rFonts w:cs="Segoe UI"/>
                <w:b/>
                <w:bCs/>
                <w:sz w:val="20"/>
                <w:szCs w:val="20"/>
              </w:rPr>
              <w:t>D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is 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>less than $300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(Individual Company)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and $60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0M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(</w:t>
            </w:r>
            <w:r w:rsidR="00176113">
              <w:rPr>
                <w:rFonts w:cs="Segoe UI"/>
                <w:b/>
                <w:bCs/>
                <w:sz w:val="20"/>
                <w:szCs w:val="20"/>
              </w:rPr>
              <w:t xml:space="preserve">NAIC 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Group)</w:t>
            </w:r>
            <w:r w:rsidR="003B4496">
              <w:rPr>
                <w:rFonts w:cs="Segoe UI"/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610" w:type="dxa"/>
            <w:vAlign w:val="bottom"/>
          </w:tcPr>
          <w:p w14:paraId="4D2958E0" w14:textId="2E761F7F" w:rsidR="00A15F99" w:rsidRPr="00A15F99" w:rsidRDefault="00A15F99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46437293" w14:textId="04A304C3" w:rsidR="00A15F99" w:rsidRPr="00A15F99" w:rsidRDefault="00A15F99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2F83" w:rsidRPr="00A15F99" w14:paraId="38354848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59725D3E" w14:textId="31F88061" w:rsidR="00E42F83" w:rsidRPr="00A15F99" w:rsidRDefault="00FA78FB" w:rsidP="00A15F9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1B48E4">
              <w:rPr>
                <w:sz w:val="20"/>
                <w:szCs w:val="20"/>
              </w:rPr>
              <w:t>of</w:t>
            </w:r>
            <w:r w:rsidR="00E42F83">
              <w:rPr>
                <w:sz w:val="20"/>
                <w:szCs w:val="20"/>
              </w:rPr>
              <w:t xml:space="preserve"> ULSG policies </w:t>
            </w:r>
            <w:r w:rsidR="00F27990">
              <w:rPr>
                <w:sz w:val="20"/>
                <w:szCs w:val="20"/>
              </w:rPr>
              <w:t xml:space="preserve">(and riders) </w:t>
            </w:r>
            <w:r w:rsidR="001B48E4">
              <w:rPr>
                <w:sz w:val="20"/>
                <w:szCs w:val="20"/>
              </w:rPr>
              <w:t>issued or assumed</w:t>
            </w:r>
            <w:r>
              <w:rPr>
                <w:sz w:val="20"/>
                <w:szCs w:val="20"/>
              </w:rPr>
              <w:t xml:space="preserve"> with an issue date of January 1, 2020 or after </w:t>
            </w:r>
            <w:r w:rsidR="007308C8">
              <w:rPr>
                <w:sz w:val="20"/>
                <w:szCs w:val="20"/>
              </w:rPr>
              <w:t>that</w:t>
            </w:r>
            <w:r w:rsidR="00E42F83">
              <w:rPr>
                <w:sz w:val="20"/>
                <w:szCs w:val="20"/>
              </w:rPr>
              <w:t xml:space="preserve"> </w:t>
            </w:r>
            <w:r w:rsidR="001B48E4">
              <w:rPr>
                <w:sz w:val="20"/>
                <w:szCs w:val="20"/>
              </w:rPr>
              <w:t>fail to</w:t>
            </w:r>
            <w:r w:rsidR="00E42F83">
              <w:rPr>
                <w:sz w:val="20"/>
                <w:szCs w:val="20"/>
              </w:rPr>
              <w:t xml:space="preserve"> meet the </w:t>
            </w:r>
            <w:r w:rsidR="007308C8">
              <w:rPr>
                <w:sz w:val="20"/>
                <w:szCs w:val="20"/>
              </w:rPr>
              <w:t xml:space="preserve">Pennsylvania Law </w:t>
            </w:r>
            <w:r w:rsidR="00E42F83">
              <w:rPr>
                <w:sz w:val="20"/>
                <w:szCs w:val="20"/>
              </w:rPr>
              <w:t>definition of a “nonmaterial secondary guarantee</w:t>
            </w:r>
            <w:r w:rsidR="007308C8">
              <w:rPr>
                <w:sz w:val="20"/>
                <w:szCs w:val="20"/>
              </w:rPr>
              <w:t xml:space="preserve"> universal life product</w:t>
            </w:r>
            <w:r w:rsidR="00E42F83">
              <w:rPr>
                <w:sz w:val="20"/>
                <w:szCs w:val="20"/>
              </w:rPr>
              <w:t>”</w:t>
            </w:r>
          </w:p>
        </w:tc>
        <w:tc>
          <w:tcPr>
            <w:tcW w:w="2610" w:type="dxa"/>
            <w:vAlign w:val="bottom"/>
          </w:tcPr>
          <w:p w14:paraId="136FE63F" w14:textId="77777777" w:rsidR="00E42F83" w:rsidRPr="00744108" w:rsidRDefault="00E42F83" w:rsidP="00A15F99">
            <w:pPr>
              <w:jc w:val="right"/>
              <w:rPr>
                <w:sz w:val="20"/>
                <w:szCs w:val="20"/>
              </w:rPr>
            </w:pPr>
          </w:p>
        </w:tc>
      </w:tr>
      <w:tr w:rsidR="00E42F83" w:rsidRPr="00A15F99" w14:paraId="350D2D57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23A59692" w14:textId="60AFBA08" w:rsidR="00E42F83" w:rsidRPr="00E42F83" w:rsidRDefault="001B48E4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Confirmation that </w:t>
            </w:r>
            <w:r w:rsidR="007308C8">
              <w:rPr>
                <w:b/>
                <w:bCs/>
                <w:sz w:val="20"/>
                <w:szCs w:val="20"/>
              </w:rPr>
              <w:t xml:space="preserve">the number of </w:t>
            </w:r>
            <w:r>
              <w:rPr>
                <w:b/>
                <w:bCs/>
                <w:sz w:val="20"/>
                <w:szCs w:val="20"/>
              </w:rPr>
              <w:t xml:space="preserve">policies </w:t>
            </w:r>
            <w:r w:rsidR="006A4355">
              <w:rPr>
                <w:b/>
                <w:bCs/>
                <w:sz w:val="20"/>
                <w:szCs w:val="20"/>
              </w:rPr>
              <w:t xml:space="preserve">(and riders) </w:t>
            </w:r>
            <w:r>
              <w:rPr>
                <w:b/>
                <w:bCs/>
                <w:sz w:val="20"/>
                <w:szCs w:val="20"/>
              </w:rPr>
              <w:t>in (</w:t>
            </w:r>
            <w:r w:rsidR="007308C8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7308C8">
              <w:rPr>
                <w:b/>
                <w:bCs/>
                <w:sz w:val="20"/>
                <w:szCs w:val="20"/>
              </w:rPr>
              <w:t xml:space="preserve">is zero </w:t>
            </w:r>
            <w:r w:rsidR="006151EF">
              <w:rPr>
                <w:b/>
                <w:bCs/>
                <w:sz w:val="20"/>
                <w:szCs w:val="20"/>
              </w:rPr>
              <w:t xml:space="preserve">and </w:t>
            </w:r>
            <w:r w:rsidR="00D27FF6">
              <w:rPr>
                <w:b/>
                <w:bCs/>
                <w:sz w:val="20"/>
                <w:szCs w:val="20"/>
              </w:rPr>
              <w:t xml:space="preserve">that </w:t>
            </w:r>
            <w:r w:rsidR="006151EF">
              <w:rPr>
                <w:b/>
                <w:bCs/>
                <w:sz w:val="20"/>
                <w:szCs w:val="20"/>
              </w:rPr>
              <w:t xml:space="preserve">no ULSG policies </w:t>
            </w:r>
            <w:r w:rsidR="006A4355">
              <w:rPr>
                <w:b/>
                <w:bCs/>
                <w:sz w:val="20"/>
                <w:szCs w:val="20"/>
              </w:rPr>
              <w:t xml:space="preserve">(and riders) </w:t>
            </w:r>
            <w:r w:rsidR="006151EF">
              <w:rPr>
                <w:b/>
                <w:bCs/>
                <w:sz w:val="20"/>
                <w:szCs w:val="20"/>
              </w:rPr>
              <w:t xml:space="preserve">that fail the </w:t>
            </w:r>
            <w:r w:rsidR="00715D1D">
              <w:rPr>
                <w:b/>
                <w:bCs/>
                <w:sz w:val="20"/>
                <w:szCs w:val="20"/>
              </w:rPr>
              <w:t xml:space="preserve">definition of a “nonmaterial secondary guarantee universal life product” will be issued or assumed through the end of </w:t>
            </w:r>
            <w:r w:rsidR="00233578">
              <w:rPr>
                <w:b/>
                <w:bCs/>
                <w:sz w:val="20"/>
                <w:szCs w:val="20"/>
              </w:rPr>
              <w:t>the current calend</w:t>
            </w:r>
            <w:r w:rsidR="002170A9">
              <w:rPr>
                <w:b/>
                <w:bCs/>
                <w:sz w:val="20"/>
                <w:szCs w:val="20"/>
              </w:rPr>
              <w:t>a</w:t>
            </w:r>
            <w:r w:rsidR="00233578">
              <w:rPr>
                <w:b/>
                <w:bCs/>
                <w:sz w:val="20"/>
                <w:szCs w:val="20"/>
              </w:rPr>
              <w:t>r year</w:t>
            </w:r>
            <w:r w:rsidR="00715D1D">
              <w:rPr>
                <w:b/>
                <w:bCs/>
                <w:sz w:val="20"/>
                <w:szCs w:val="20"/>
              </w:rPr>
              <w:t xml:space="preserve"> </w:t>
            </w:r>
            <w:r w:rsidR="003B4496">
              <w:rPr>
                <w:rFonts w:cs="Segoe UI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2610" w:type="dxa"/>
            <w:vAlign w:val="bottom"/>
          </w:tcPr>
          <w:p w14:paraId="228E2BFE" w14:textId="2A794A2E" w:rsidR="00E42F83" w:rsidRPr="00A15F99" w:rsidRDefault="00E42F83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627" w:rsidRPr="00A15F99" w14:paraId="76E059B8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6E76C49A" w14:textId="172EC558" w:rsidR="00065627" w:rsidRDefault="007308C8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Total Adjusted Capital as a percentage of the Authorized Control Level R</w:t>
            </w:r>
            <w:r w:rsidR="00B84687">
              <w:rPr>
                <w:sz w:val="20"/>
                <w:szCs w:val="20"/>
              </w:rPr>
              <w:t>isk-Based Capital (RBC) in the most recent RBC report</w:t>
            </w:r>
          </w:p>
        </w:tc>
        <w:tc>
          <w:tcPr>
            <w:tcW w:w="2610" w:type="dxa"/>
            <w:vAlign w:val="bottom"/>
          </w:tcPr>
          <w:p w14:paraId="5D613FFB" w14:textId="77777777" w:rsidR="00065627" w:rsidRPr="00A15F99" w:rsidRDefault="0006562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627" w:rsidRPr="00A15F99" w14:paraId="0221FAE1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2F7283B8" w14:textId="54A2BA54" w:rsidR="00065627" w:rsidRDefault="00B84687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Confirmation that the percentage in (H) is at least 450% </w:t>
            </w:r>
            <w:r w:rsidR="00847D93">
              <w:rPr>
                <w:b/>
                <w:bCs/>
                <w:sz w:val="20"/>
                <w:szCs w:val="20"/>
              </w:rPr>
              <w:t>(Yes/No)</w:t>
            </w:r>
            <w:r>
              <w:rPr>
                <w:b/>
                <w:bCs/>
                <w:sz w:val="20"/>
                <w:szCs w:val="20"/>
              </w:rPr>
              <w:t xml:space="preserve"> [This requirement does not apply to fraternal benefit societies with less than $50 million in premium (D)]</w:t>
            </w:r>
          </w:p>
        </w:tc>
        <w:tc>
          <w:tcPr>
            <w:tcW w:w="2610" w:type="dxa"/>
            <w:vAlign w:val="bottom"/>
          </w:tcPr>
          <w:p w14:paraId="573407F4" w14:textId="77777777" w:rsidR="00065627" w:rsidRPr="00A15F99" w:rsidRDefault="0006562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687" w:rsidRPr="00A15F99" w14:paraId="16E65B0B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3675B5F7" w14:textId="5D1B1A07" w:rsidR="00B84687" w:rsidRDefault="00847D93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opinion provided by the appointed actuary on the reserves reported in the most recent annual statement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C45E6">
              <w:rPr>
                <w:sz w:val="20"/>
                <w:szCs w:val="20"/>
              </w:rPr>
              <w:t>unqualified, adverse)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14:paraId="5CD29D38" w14:textId="77777777" w:rsidR="00B84687" w:rsidRPr="00A15F99" w:rsidRDefault="00B8468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687" w:rsidRPr="00A15F99" w14:paraId="357806D1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414503DC" w14:textId="18ECB497" w:rsidR="00B84687" w:rsidRDefault="007C45E6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Confirmation that the type of opinion </w:t>
            </w:r>
            <w:r w:rsidR="009C4F46">
              <w:rPr>
                <w:b/>
                <w:bCs/>
                <w:sz w:val="20"/>
                <w:szCs w:val="20"/>
              </w:rPr>
              <w:t xml:space="preserve">listed </w:t>
            </w:r>
            <w:r>
              <w:rPr>
                <w:b/>
                <w:bCs/>
                <w:sz w:val="20"/>
                <w:szCs w:val="20"/>
              </w:rPr>
              <w:t xml:space="preserve">in (J) is </w:t>
            </w:r>
            <w:r w:rsidR="009C4F46">
              <w:rPr>
                <w:b/>
                <w:bCs/>
                <w:sz w:val="20"/>
                <w:szCs w:val="20"/>
              </w:rPr>
              <w:t>“</w:t>
            </w:r>
            <w:r>
              <w:rPr>
                <w:b/>
                <w:bCs/>
                <w:sz w:val="20"/>
                <w:szCs w:val="20"/>
              </w:rPr>
              <w:t>unqualified</w:t>
            </w:r>
            <w:r w:rsidR="009C4F46"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610" w:type="dxa"/>
            <w:vAlign w:val="bottom"/>
          </w:tcPr>
          <w:p w14:paraId="0FB1DD00" w14:textId="77777777" w:rsidR="00B84687" w:rsidRPr="00A15F99" w:rsidRDefault="00B8468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3DAFD98" w14:textId="77777777" w:rsidR="00762767" w:rsidRPr="00036462" w:rsidRDefault="00762767" w:rsidP="00762767">
      <w:pPr>
        <w:pStyle w:val="Default"/>
        <w:jc w:val="both"/>
        <w:rPr>
          <w:rFonts w:ascii="Segoe UI" w:hAnsi="Segoe UI" w:cs="Segoe UI"/>
          <w:sz w:val="8"/>
          <w:szCs w:val="8"/>
        </w:rPr>
      </w:pPr>
    </w:p>
    <w:p w14:paraId="72C455F5" w14:textId="70EC7BD7" w:rsidR="00762767" w:rsidRPr="00762767" w:rsidRDefault="002F3734" w:rsidP="0076276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49050F">
        <w:rPr>
          <w:rFonts w:ascii="Segoe UI" w:hAnsi="Segoe UI" w:cs="Segoe UI"/>
          <w:sz w:val="22"/>
          <w:szCs w:val="22"/>
        </w:rPr>
        <w:t xml:space="preserve">The policies covered by this statement satisfy the Life PBR Exemption requirements in Section </w:t>
      </w:r>
      <w:r w:rsidR="00065627">
        <w:rPr>
          <w:rFonts w:ascii="Segoe UI" w:hAnsi="Segoe UI" w:cs="Segoe UI"/>
          <w:sz w:val="22"/>
          <w:szCs w:val="22"/>
        </w:rPr>
        <w:t xml:space="preserve">7142 of the Pennsylvania Standard Valuation Law </w:t>
      </w:r>
      <w:r w:rsidRPr="0049050F">
        <w:rPr>
          <w:rFonts w:ascii="Segoe UI" w:hAnsi="Segoe UI" w:cs="Segoe UI"/>
          <w:sz w:val="22"/>
          <w:szCs w:val="22"/>
        </w:rPr>
        <w:t>for the current calendar year</w:t>
      </w:r>
      <w:r w:rsidRPr="00762767">
        <w:rPr>
          <w:rFonts w:ascii="Segoe UI" w:hAnsi="Segoe UI" w:cs="Segoe UI"/>
          <w:sz w:val="22"/>
          <w:szCs w:val="22"/>
        </w:rPr>
        <w:t>.</w:t>
      </w:r>
      <w:r w:rsidRPr="0049050F">
        <w:rPr>
          <w:rFonts w:ascii="Segoe UI" w:hAnsi="Segoe UI" w:cs="Segoe UI"/>
          <w:sz w:val="22"/>
          <w:szCs w:val="22"/>
        </w:rPr>
        <w:t xml:space="preserve"> </w:t>
      </w:r>
      <w:r w:rsidR="00895CC4" w:rsidRPr="0049050F">
        <w:rPr>
          <w:rFonts w:ascii="Segoe UI" w:hAnsi="Segoe UI" w:cs="Segoe UI"/>
          <w:sz w:val="22"/>
          <w:szCs w:val="22"/>
        </w:rPr>
        <w:t>The minimum reserve requirements for the ordinary life policies subject to the exemption are those pursuant to applicable methods required in VM-A and VM-C using the mortality as defined in VM-20 Section 3.C.1 and VM-M Section 1.H.</w:t>
      </w:r>
      <w:r w:rsidR="00E96CA8">
        <w:rPr>
          <w:rFonts w:ascii="Segoe UI" w:hAnsi="Segoe UI" w:cs="Segoe UI"/>
          <w:sz w:val="22"/>
          <w:szCs w:val="22"/>
        </w:rPr>
        <w:t xml:space="preserve">  </w:t>
      </w:r>
      <w:r w:rsidR="00C05877" w:rsidRPr="00762767">
        <w:rPr>
          <w:rFonts w:ascii="Segoe UI" w:hAnsi="Segoe UI" w:cs="Segoe UI"/>
          <w:sz w:val="22"/>
          <w:szCs w:val="22"/>
        </w:rPr>
        <w:t xml:space="preserve">Any policies </w:t>
      </w:r>
      <w:r w:rsidR="00DB3CBD" w:rsidRPr="00762767">
        <w:rPr>
          <w:rFonts w:ascii="Segoe UI" w:hAnsi="Segoe UI" w:cs="Segoe UI"/>
          <w:sz w:val="22"/>
          <w:szCs w:val="22"/>
        </w:rPr>
        <w:t>acquired</w:t>
      </w:r>
      <w:r w:rsidR="00C05877" w:rsidRPr="00762767">
        <w:rPr>
          <w:rFonts w:ascii="Segoe UI" w:hAnsi="Segoe UI" w:cs="Segoe UI"/>
          <w:sz w:val="22"/>
          <w:szCs w:val="22"/>
        </w:rPr>
        <w:t xml:space="preserve"> in the current calendar year that otherwise would be subject to VM-20 and are not covered by this statement of exemption will be valued following the requirements of VM-20.</w:t>
      </w:r>
    </w:p>
    <w:p w14:paraId="641CEEF8" w14:textId="77777777" w:rsidR="00762767" w:rsidRPr="00036462" w:rsidRDefault="00762767" w:rsidP="00762767">
      <w:pPr>
        <w:pStyle w:val="Default"/>
        <w:jc w:val="both"/>
        <w:rPr>
          <w:rFonts w:ascii="Segoe UI" w:hAnsi="Segoe UI" w:cs="Segoe UI"/>
          <w:sz w:val="8"/>
          <w:szCs w:val="8"/>
        </w:rPr>
      </w:pPr>
    </w:p>
    <w:p w14:paraId="7596E27C" w14:textId="450886AC" w:rsidR="00C05877" w:rsidRDefault="002F3734" w:rsidP="0076276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762767">
        <w:rPr>
          <w:rFonts w:ascii="Segoe UI" w:hAnsi="Segoe UI" w:cs="Segoe UI"/>
          <w:sz w:val="22"/>
          <w:szCs w:val="22"/>
        </w:rPr>
        <w:t>The information contained herein is true and correct to the best of my knowledge and belief.</w:t>
      </w:r>
    </w:p>
    <w:p w14:paraId="73234182" w14:textId="77777777" w:rsidR="00762767" w:rsidRPr="00036462" w:rsidRDefault="00762767" w:rsidP="00762767">
      <w:pPr>
        <w:pStyle w:val="Default"/>
        <w:jc w:val="both"/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57"/>
        <w:gridCol w:w="395"/>
        <w:gridCol w:w="3959"/>
        <w:gridCol w:w="296"/>
        <w:gridCol w:w="1758"/>
      </w:tblGrid>
      <w:tr w:rsidR="002F3734" w:rsidRPr="002F3734" w14:paraId="0916D341" w14:textId="77777777" w:rsidTr="00036462">
        <w:trPr>
          <w:trHeight w:val="148"/>
        </w:trPr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17279" w14:textId="77777777" w:rsidR="002F3734" w:rsidRPr="00036462" w:rsidRDefault="002F3734" w:rsidP="009F142E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F15F81" w14:textId="77777777" w:rsidR="002F3734" w:rsidRPr="002F3734" w:rsidRDefault="002F3734" w:rsidP="009F142E">
            <w:pPr>
              <w:ind w:right="360"/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99FA5" w14:textId="77777777" w:rsidR="002F3734" w:rsidRPr="002F3734" w:rsidRDefault="002F3734" w:rsidP="009F142E">
            <w:pPr>
              <w:ind w:right="36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49E573A" w14:textId="77777777" w:rsidR="002F3734" w:rsidRPr="002F3734" w:rsidRDefault="002F3734" w:rsidP="009F142E">
            <w:pPr>
              <w:ind w:right="360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5478D" w14:textId="77777777" w:rsidR="002F3734" w:rsidRPr="002F3734" w:rsidRDefault="002F3734" w:rsidP="009F142E">
            <w:pPr>
              <w:ind w:right="360"/>
            </w:pPr>
          </w:p>
        </w:tc>
      </w:tr>
      <w:tr w:rsidR="002F3734" w:rsidRPr="002F3734" w14:paraId="1CF3CC45" w14:textId="77777777" w:rsidTr="00036462">
        <w:trPr>
          <w:trHeight w:val="298"/>
        </w:trPr>
        <w:tc>
          <w:tcPr>
            <w:tcW w:w="4157" w:type="dxa"/>
            <w:tcBorders>
              <w:left w:val="nil"/>
              <w:bottom w:val="nil"/>
              <w:right w:val="nil"/>
            </w:tcBorders>
          </w:tcPr>
          <w:p w14:paraId="4BB30ECC" w14:textId="77777777" w:rsidR="002F3734" w:rsidRPr="002F3734" w:rsidRDefault="002F3734" w:rsidP="009F142E">
            <w:pPr>
              <w:ind w:right="360"/>
              <w:jc w:val="center"/>
            </w:pPr>
            <w:r w:rsidRPr="002F3734">
              <w:rPr>
                <w:sz w:val="20"/>
                <w:szCs w:val="20"/>
              </w:rPr>
              <w:t>Name and Title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F4B8C11" w14:textId="77777777" w:rsidR="002F3734" w:rsidRPr="002F3734" w:rsidRDefault="002F3734" w:rsidP="009F142E">
            <w:pPr>
              <w:ind w:right="360"/>
              <w:jc w:val="center"/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</w:tcPr>
          <w:p w14:paraId="0049277F" w14:textId="77777777" w:rsidR="002F3734" w:rsidRPr="002F3734" w:rsidRDefault="002F3734" w:rsidP="009F142E">
            <w:pPr>
              <w:ind w:right="360"/>
              <w:jc w:val="center"/>
            </w:pPr>
            <w:r w:rsidRPr="002F3734">
              <w:rPr>
                <w:sz w:val="20"/>
                <w:szCs w:val="20"/>
              </w:rPr>
              <w:t>Signature</w:t>
            </w:r>
            <w:r w:rsidRPr="002F3734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17CD2E9" w14:textId="77777777" w:rsidR="002F3734" w:rsidRPr="002F3734" w:rsidRDefault="002F3734" w:rsidP="009F142E">
            <w:pPr>
              <w:ind w:right="360"/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14:paraId="7CB3E8B8" w14:textId="77777777" w:rsidR="002F3734" w:rsidRPr="002F3734" w:rsidRDefault="002F3734" w:rsidP="009F142E">
            <w:pPr>
              <w:ind w:right="360"/>
              <w:jc w:val="center"/>
            </w:pPr>
            <w:r w:rsidRPr="002F3734">
              <w:rPr>
                <w:sz w:val="20"/>
                <w:szCs w:val="20"/>
              </w:rPr>
              <w:t>Date</w:t>
            </w:r>
          </w:p>
        </w:tc>
      </w:tr>
    </w:tbl>
    <w:p w14:paraId="495FAEC4" w14:textId="4C8ACC36" w:rsidR="002F3734" w:rsidRPr="006E161C" w:rsidRDefault="002F3734" w:rsidP="00F72596">
      <w:pPr>
        <w:pStyle w:val="Leftalign"/>
        <w:spacing w:after="160" w:line="259" w:lineRule="auto"/>
        <w:ind w:right="360"/>
        <w:rPr>
          <w:rFonts w:ascii="Segoe UI" w:eastAsiaTheme="minorHAnsi" w:hAnsi="Segoe UI" w:cs="Arial"/>
        </w:rPr>
      </w:pPr>
    </w:p>
    <w:sectPr w:rsidR="002F3734" w:rsidRPr="006E161C" w:rsidSect="001A2901">
      <w:footerReference w:type="default" r:id="rId8"/>
      <w:footerReference w:type="first" r:id="rId9"/>
      <w:pgSz w:w="12240" w:h="15840" w:code="1"/>
      <w:pgMar w:top="720" w:right="720" w:bottom="720" w:left="720" w:header="72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C04E" w14:textId="77777777" w:rsidR="000A3B5F" w:rsidRDefault="000A3B5F" w:rsidP="007F7896">
      <w:pPr>
        <w:spacing w:after="0" w:line="240" w:lineRule="auto"/>
      </w:pPr>
      <w:r>
        <w:separator/>
      </w:r>
    </w:p>
    <w:p w14:paraId="17C94C0D" w14:textId="77777777" w:rsidR="000A3B5F" w:rsidRDefault="000A3B5F"/>
  </w:endnote>
  <w:endnote w:type="continuationSeparator" w:id="0">
    <w:p w14:paraId="1C165A7A" w14:textId="77777777" w:rsidR="000A3B5F" w:rsidRDefault="000A3B5F" w:rsidP="007F7896">
      <w:pPr>
        <w:spacing w:after="0" w:line="240" w:lineRule="auto"/>
      </w:pPr>
      <w:r>
        <w:continuationSeparator/>
      </w:r>
    </w:p>
    <w:p w14:paraId="2099AB8D" w14:textId="77777777" w:rsidR="000A3B5F" w:rsidRDefault="000A3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7DCE3" w14:textId="70245A87" w:rsidR="0076556E" w:rsidRDefault="00D6507D" w:rsidP="00036462">
        <w:pPr>
          <w:pStyle w:val="Footer"/>
        </w:pPr>
        <w:r>
          <w:t>0</w:t>
        </w:r>
        <w:r w:rsidR="007A3651">
          <w:t>329</w:t>
        </w:r>
        <w:r>
          <w:t>2</w:t>
        </w:r>
        <w:r w:rsidR="00136387">
          <w:t>02</w:t>
        </w:r>
        <w:r w:rsidR="007A3651">
          <w:t>2</w:t>
        </w:r>
        <w:r w:rsidR="00136387">
          <w:t xml:space="preserve">                                                        </w:t>
        </w:r>
        <w:r w:rsidR="00C05877">
          <w:t>Life PBR Statement of Exemption</w:t>
        </w:r>
        <w:r w:rsidR="00D91FE4">
          <w:t xml:space="preserve"> for </w:t>
        </w:r>
        <w:r w:rsidR="008330F3">
          <w:t>Pennsylvania</w:t>
        </w:r>
        <w:r w:rsidR="00D91FE4">
          <w:t xml:space="preserve"> -</w:t>
        </w:r>
        <w:r w:rsidR="00C05877">
          <w:t xml:space="preserve"> Page </w:t>
        </w:r>
        <w:r w:rsidR="00961424">
          <w:fldChar w:fldCharType="begin"/>
        </w:r>
        <w:r w:rsidR="00961424">
          <w:instrText xml:space="preserve"> PAGE   \* MERGEFORMAT </w:instrText>
        </w:r>
        <w:r w:rsidR="00961424">
          <w:fldChar w:fldCharType="separate"/>
        </w:r>
        <w:r w:rsidR="00757ED3">
          <w:rPr>
            <w:noProof/>
          </w:rPr>
          <w:t>2</w:t>
        </w:r>
        <w:r w:rsidR="00961424">
          <w:rPr>
            <w:noProof/>
          </w:rPr>
          <w:fldChar w:fldCharType="end"/>
        </w:r>
        <w:r w:rsidR="00961424">
          <w:rPr>
            <w:noProof/>
          </w:rPr>
          <w:t xml:space="preserve"> </w:t>
        </w:r>
        <w:r w:rsidR="00762767">
          <w:rPr>
            <w:noProof/>
          </w:rPr>
          <w:t>of</w:t>
        </w:r>
        <w:r w:rsidR="00961424">
          <w:rPr>
            <w:noProof/>
          </w:rPr>
          <w:t xml:space="preserve"> </w:t>
        </w:r>
        <w:r w:rsidR="00961424">
          <w:rPr>
            <w:noProof/>
          </w:rPr>
          <w:fldChar w:fldCharType="begin"/>
        </w:r>
        <w:r w:rsidR="00961424">
          <w:rPr>
            <w:noProof/>
          </w:rPr>
          <w:instrText xml:space="preserve"> NUMPAGES   \* MERGEFORMAT </w:instrText>
        </w:r>
        <w:r w:rsidR="00961424">
          <w:rPr>
            <w:noProof/>
          </w:rPr>
          <w:fldChar w:fldCharType="separate"/>
        </w:r>
        <w:r w:rsidR="00757ED3">
          <w:rPr>
            <w:noProof/>
          </w:rPr>
          <w:t>2</w:t>
        </w:r>
        <w:r w:rsidR="0096142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11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269C2" w14:textId="472EB65E" w:rsidR="00961424" w:rsidRDefault="00961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91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FF1EB" w14:textId="77777777" w:rsidR="00C23955" w:rsidRDefault="00C23955" w:rsidP="00C23955">
    <w:pPr>
      <w:pStyle w:val="Footer"/>
      <w:jc w:val="right"/>
    </w:pPr>
  </w:p>
  <w:p w14:paraId="5E80B849" w14:textId="77777777" w:rsidR="0076556E" w:rsidRDefault="00765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67CC" w14:textId="77777777" w:rsidR="000A3B5F" w:rsidRDefault="000A3B5F" w:rsidP="007F7896">
      <w:pPr>
        <w:spacing w:after="0" w:line="240" w:lineRule="auto"/>
      </w:pPr>
      <w:r>
        <w:separator/>
      </w:r>
    </w:p>
    <w:p w14:paraId="2CFCD9CC" w14:textId="77777777" w:rsidR="000A3B5F" w:rsidRDefault="000A3B5F"/>
  </w:footnote>
  <w:footnote w:type="continuationSeparator" w:id="0">
    <w:p w14:paraId="4FCB7083" w14:textId="77777777" w:rsidR="000A3B5F" w:rsidRDefault="000A3B5F" w:rsidP="007F7896">
      <w:pPr>
        <w:spacing w:after="0" w:line="240" w:lineRule="auto"/>
      </w:pPr>
      <w:r>
        <w:continuationSeparator/>
      </w:r>
    </w:p>
    <w:p w14:paraId="4AA82E20" w14:textId="77777777" w:rsidR="000A3B5F" w:rsidRDefault="000A3B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4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98633D"/>
    <w:multiLevelType w:val="hybridMultilevel"/>
    <w:tmpl w:val="BBA4F6BE"/>
    <w:lvl w:ilvl="0" w:tplc="105ACA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7004"/>
    <w:multiLevelType w:val="hybridMultilevel"/>
    <w:tmpl w:val="44EC7FA4"/>
    <w:lvl w:ilvl="0" w:tplc="A8D6BDB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7C3"/>
    <w:multiLevelType w:val="hybridMultilevel"/>
    <w:tmpl w:val="FF62D8FE"/>
    <w:lvl w:ilvl="0" w:tplc="D562CA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D92"/>
    <w:multiLevelType w:val="hybridMultilevel"/>
    <w:tmpl w:val="674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0444"/>
    <w:multiLevelType w:val="hybridMultilevel"/>
    <w:tmpl w:val="914CA508"/>
    <w:lvl w:ilvl="0" w:tplc="15804696">
      <w:start w:val="1"/>
      <w:numFmt w:val="decimal"/>
      <w:lvlText w:val="%1."/>
      <w:lvlJc w:val="left"/>
      <w:pPr>
        <w:ind w:left="720" w:hanging="360"/>
      </w:pPr>
    </w:lvl>
    <w:lvl w:ilvl="1" w:tplc="B8E84706">
      <w:start w:val="1"/>
      <w:numFmt w:val="lowerLetter"/>
      <w:lvlText w:val="%2."/>
      <w:lvlJc w:val="left"/>
      <w:pPr>
        <w:ind w:left="1080" w:hanging="360"/>
      </w:pPr>
    </w:lvl>
    <w:lvl w:ilvl="2" w:tplc="EC762BCC">
      <w:start w:val="1"/>
      <w:numFmt w:val="lowerRoman"/>
      <w:lvlText w:val="%3."/>
      <w:lvlJc w:val="right"/>
      <w:pPr>
        <w:ind w:left="1584" w:hanging="216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22F7"/>
    <w:multiLevelType w:val="hybridMultilevel"/>
    <w:tmpl w:val="3D2C0A56"/>
    <w:lvl w:ilvl="0" w:tplc="D562CA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61CC"/>
    <w:multiLevelType w:val="hybridMultilevel"/>
    <w:tmpl w:val="4F48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47302"/>
    <w:multiLevelType w:val="hybridMultilevel"/>
    <w:tmpl w:val="86C2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C2C"/>
    <w:multiLevelType w:val="hybridMultilevel"/>
    <w:tmpl w:val="3E02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D10120"/>
    <w:multiLevelType w:val="hybridMultilevel"/>
    <w:tmpl w:val="BD7C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54E73"/>
    <w:multiLevelType w:val="hybridMultilevel"/>
    <w:tmpl w:val="D74C3E46"/>
    <w:lvl w:ilvl="0" w:tplc="105ACAC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02EC0"/>
    <w:multiLevelType w:val="hybridMultilevel"/>
    <w:tmpl w:val="90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96"/>
    <w:rsid w:val="000041C0"/>
    <w:rsid w:val="000226A0"/>
    <w:rsid w:val="00036462"/>
    <w:rsid w:val="00037042"/>
    <w:rsid w:val="00065627"/>
    <w:rsid w:val="00094CA1"/>
    <w:rsid w:val="000A2456"/>
    <w:rsid w:val="000A3739"/>
    <w:rsid w:val="000A3B5F"/>
    <w:rsid w:val="000B50CD"/>
    <w:rsid w:val="000D4B81"/>
    <w:rsid w:val="00101178"/>
    <w:rsid w:val="00136387"/>
    <w:rsid w:val="00153B4F"/>
    <w:rsid w:val="00160C9F"/>
    <w:rsid w:val="0017272C"/>
    <w:rsid w:val="00174E1E"/>
    <w:rsid w:val="001759CF"/>
    <w:rsid w:val="00176113"/>
    <w:rsid w:val="0018455E"/>
    <w:rsid w:val="001A1B78"/>
    <w:rsid w:val="001A2901"/>
    <w:rsid w:val="001A6B16"/>
    <w:rsid w:val="001B48E4"/>
    <w:rsid w:val="001C69E9"/>
    <w:rsid w:val="001D0602"/>
    <w:rsid w:val="001E0DF4"/>
    <w:rsid w:val="0021048C"/>
    <w:rsid w:val="002170A9"/>
    <w:rsid w:val="00233578"/>
    <w:rsid w:val="0023452C"/>
    <w:rsid w:val="00235C14"/>
    <w:rsid w:val="002473B8"/>
    <w:rsid w:val="002734B6"/>
    <w:rsid w:val="00283E49"/>
    <w:rsid w:val="00293C46"/>
    <w:rsid w:val="002E4E9D"/>
    <w:rsid w:val="002F2804"/>
    <w:rsid w:val="002F3734"/>
    <w:rsid w:val="0032660C"/>
    <w:rsid w:val="0034309A"/>
    <w:rsid w:val="00343AF2"/>
    <w:rsid w:val="00354310"/>
    <w:rsid w:val="00354B9B"/>
    <w:rsid w:val="00366BFE"/>
    <w:rsid w:val="003833D1"/>
    <w:rsid w:val="003B4496"/>
    <w:rsid w:val="003D5C32"/>
    <w:rsid w:val="00415230"/>
    <w:rsid w:val="00443CF6"/>
    <w:rsid w:val="004660D5"/>
    <w:rsid w:val="0048769C"/>
    <w:rsid w:val="0049050F"/>
    <w:rsid w:val="00494F5A"/>
    <w:rsid w:val="004E6D4B"/>
    <w:rsid w:val="00512DFA"/>
    <w:rsid w:val="00545D36"/>
    <w:rsid w:val="00560D7C"/>
    <w:rsid w:val="0056450C"/>
    <w:rsid w:val="00570B4D"/>
    <w:rsid w:val="00585B0A"/>
    <w:rsid w:val="00594416"/>
    <w:rsid w:val="005A3B95"/>
    <w:rsid w:val="005A5B88"/>
    <w:rsid w:val="006151EF"/>
    <w:rsid w:val="006201DB"/>
    <w:rsid w:val="00625F2C"/>
    <w:rsid w:val="006366ED"/>
    <w:rsid w:val="00656042"/>
    <w:rsid w:val="0066031B"/>
    <w:rsid w:val="00663212"/>
    <w:rsid w:val="006665BA"/>
    <w:rsid w:val="006A4355"/>
    <w:rsid w:val="006A5B39"/>
    <w:rsid w:val="006B22BF"/>
    <w:rsid w:val="006E161C"/>
    <w:rsid w:val="006F7A20"/>
    <w:rsid w:val="00715D1D"/>
    <w:rsid w:val="007308C8"/>
    <w:rsid w:val="00734930"/>
    <w:rsid w:val="00744108"/>
    <w:rsid w:val="00757ED3"/>
    <w:rsid w:val="00762767"/>
    <w:rsid w:val="00765094"/>
    <w:rsid w:val="0076556E"/>
    <w:rsid w:val="007A1747"/>
    <w:rsid w:val="007A3651"/>
    <w:rsid w:val="007A3C63"/>
    <w:rsid w:val="007A7E34"/>
    <w:rsid w:val="007C45E6"/>
    <w:rsid w:val="007D25EC"/>
    <w:rsid w:val="007D65BB"/>
    <w:rsid w:val="007E7039"/>
    <w:rsid w:val="007F7896"/>
    <w:rsid w:val="00832254"/>
    <w:rsid w:val="008330F3"/>
    <w:rsid w:val="00844491"/>
    <w:rsid w:val="00844795"/>
    <w:rsid w:val="00847D93"/>
    <w:rsid w:val="00861C4A"/>
    <w:rsid w:val="00870708"/>
    <w:rsid w:val="00877A88"/>
    <w:rsid w:val="008811C9"/>
    <w:rsid w:val="00885A45"/>
    <w:rsid w:val="00895747"/>
    <w:rsid w:val="00895CC4"/>
    <w:rsid w:val="008A37FE"/>
    <w:rsid w:val="008C3C67"/>
    <w:rsid w:val="008E5851"/>
    <w:rsid w:val="008F4BD8"/>
    <w:rsid w:val="00946BBD"/>
    <w:rsid w:val="00961424"/>
    <w:rsid w:val="0096423A"/>
    <w:rsid w:val="00966A5D"/>
    <w:rsid w:val="009B0445"/>
    <w:rsid w:val="009C13CB"/>
    <w:rsid w:val="009C4F46"/>
    <w:rsid w:val="009D3539"/>
    <w:rsid w:val="009D5E44"/>
    <w:rsid w:val="009E6CAF"/>
    <w:rsid w:val="009E7D04"/>
    <w:rsid w:val="009F02D1"/>
    <w:rsid w:val="00A057DD"/>
    <w:rsid w:val="00A064B8"/>
    <w:rsid w:val="00A15F99"/>
    <w:rsid w:val="00A248E6"/>
    <w:rsid w:val="00A308E2"/>
    <w:rsid w:val="00A36F74"/>
    <w:rsid w:val="00A66B34"/>
    <w:rsid w:val="00A92AC1"/>
    <w:rsid w:val="00A977AC"/>
    <w:rsid w:val="00A97FDB"/>
    <w:rsid w:val="00AC4C44"/>
    <w:rsid w:val="00AF1174"/>
    <w:rsid w:val="00B17E46"/>
    <w:rsid w:val="00B41FEB"/>
    <w:rsid w:val="00B50DBF"/>
    <w:rsid w:val="00B828A0"/>
    <w:rsid w:val="00B82DCE"/>
    <w:rsid w:val="00B84687"/>
    <w:rsid w:val="00B87E38"/>
    <w:rsid w:val="00BB3222"/>
    <w:rsid w:val="00C05877"/>
    <w:rsid w:val="00C1587A"/>
    <w:rsid w:val="00C23955"/>
    <w:rsid w:val="00C26E6B"/>
    <w:rsid w:val="00C333A3"/>
    <w:rsid w:val="00CA70C0"/>
    <w:rsid w:val="00CC03A0"/>
    <w:rsid w:val="00CD14E4"/>
    <w:rsid w:val="00CD4387"/>
    <w:rsid w:val="00CD5308"/>
    <w:rsid w:val="00CE2551"/>
    <w:rsid w:val="00CE6FC6"/>
    <w:rsid w:val="00D106CB"/>
    <w:rsid w:val="00D13F6A"/>
    <w:rsid w:val="00D20654"/>
    <w:rsid w:val="00D21A1D"/>
    <w:rsid w:val="00D26772"/>
    <w:rsid w:val="00D27FF6"/>
    <w:rsid w:val="00D3542A"/>
    <w:rsid w:val="00D37290"/>
    <w:rsid w:val="00D405DD"/>
    <w:rsid w:val="00D6507D"/>
    <w:rsid w:val="00D75A1C"/>
    <w:rsid w:val="00D7637B"/>
    <w:rsid w:val="00D76550"/>
    <w:rsid w:val="00D91FE4"/>
    <w:rsid w:val="00DB3CBD"/>
    <w:rsid w:val="00DB5B50"/>
    <w:rsid w:val="00DB7C56"/>
    <w:rsid w:val="00DD5B55"/>
    <w:rsid w:val="00DE4BF6"/>
    <w:rsid w:val="00DE4C47"/>
    <w:rsid w:val="00E047E1"/>
    <w:rsid w:val="00E143C2"/>
    <w:rsid w:val="00E32F15"/>
    <w:rsid w:val="00E42F83"/>
    <w:rsid w:val="00E54FF3"/>
    <w:rsid w:val="00E84E79"/>
    <w:rsid w:val="00E858D1"/>
    <w:rsid w:val="00E96CA8"/>
    <w:rsid w:val="00EA2A30"/>
    <w:rsid w:val="00EC2C1F"/>
    <w:rsid w:val="00ED06F0"/>
    <w:rsid w:val="00ED0B25"/>
    <w:rsid w:val="00EF474D"/>
    <w:rsid w:val="00F01F43"/>
    <w:rsid w:val="00F05E37"/>
    <w:rsid w:val="00F07ECA"/>
    <w:rsid w:val="00F07FB8"/>
    <w:rsid w:val="00F17DCF"/>
    <w:rsid w:val="00F27990"/>
    <w:rsid w:val="00F60439"/>
    <w:rsid w:val="00F7139F"/>
    <w:rsid w:val="00F72596"/>
    <w:rsid w:val="00F82287"/>
    <w:rsid w:val="00FA0045"/>
    <w:rsid w:val="00FA78FB"/>
    <w:rsid w:val="00FD18A3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984A7"/>
  <w15:chartTrackingRefBased/>
  <w15:docId w15:val="{2ECECE26-194D-45B4-B8CE-994867A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C9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851"/>
    <w:pPr>
      <w:spacing w:before="240" w:after="0" w:line="240" w:lineRule="auto"/>
      <w:jc w:val="center"/>
      <w:outlineLvl w:val="0"/>
    </w:pPr>
    <w:rPr>
      <w:rFonts w:cs="Segoe U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851"/>
    <w:pPr>
      <w:spacing w:after="120"/>
      <w:outlineLvl w:val="1"/>
    </w:pPr>
    <w:rPr>
      <w:rFonts w:cs="Segoe UI"/>
      <w:b/>
      <w:color w:val="2E74B5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96"/>
  </w:style>
  <w:style w:type="paragraph" w:styleId="Footer">
    <w:name w:val="footer"/>
    <w:basedOn w:val="Normal"/>
    <w:link w:val="FooterChar"/>
    <w:uiPriority w:val="99"/>
    <w:unhideWhenUsed/>
    <w:rsid w:val="007F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96"/>
  </w:style>
  <w:style w:type="table" w:styleId="TableGrid">
    <w:name w:val="Table Grid"/>
    <w:basedOn w:val="TableNormal"/>
    <w:uiPriority w:val="59"/>
    <w:rsid w:val="0059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094C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65094"/>
  </w:style>
  <w:style w:type="character" w:styleId="Hyperlink">
    <w:name w:val="Hyperlink"/>
    <w:basedOn w:val="DefaultParagraphFont"/>
    <w:uiPriority w:val="99"/>
    <w:unhideWhenUsed/>
    <w:rsid w:val="00CE6F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5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851"/>
    <w:rPr>
      <w:rFonts w:ascii="Segoe UI" w:hAnsi="Segoe UI" w:cs="Segoe U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851"/>
    <w:rPr>
      <w:rFonts w:ascii="Segoe UI" w:hAnsi="Segoe UI" w:cs="Segoe UI"/>
      <w:b/>
      <w:color w:val="2E74B5" w:themeColor="accent5" w:themeShade="BF"/>
    </w:rPr>
  </w:style>
  <w:style w:type="paragraph" w:styleId="BodyText">
    <w:name w:val="Body Text"/>
    <w:basedOn w:val="Normal"/>
    <w:link w:val="BodyTextChar"/>
    <w:uiPriority w:val="1"/>
    <w:qFormat/>
    <w:rsid w:val="001E0DF4"/>
    <w:pPr>
      <w:widowControl w:val="0"/>
      <w:autoSpaceDE w:val="0"/>
      <w:autoSpaceDN w:val="0"/>
      <w:spacing w:after="0" w:line="240" w:lineRule="auto"/>
    </w:pPr>
    <w:rPr>
      <w:rFonts w:eastAsia="Segoe UI" w:cs="Segoe U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E0DF4"/>
    <w:rPr>
      <w:rFonts w:ascii="Segoe UI" w:eastAsia="Segoe UI" w:hAnsi="Segoe UI" w:cs="Segoe UI"/>
      <w:u w:val="single" w:color="000000"/>
    </w:rPr>
  </w:style>
  <w:style w:type="paragraph" w:customStyle="1" w:styleId="Leftalign">
    <w:name w:val="Left align"/>
    <w:qFormat/>
    <w:rsid w:val="002F3734"/>
    <w:pPr>
      <w:spacing w:after="0" w:line="240" w:lineRule="auto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EF474D"/>
    <w:pPr>
      <w:spacing w:after="0" w:line="240" w:lineRule="auto"/>
    </w:pPr>
    <w:rPr>
      <w:rFonts w:ascii="Segoe UI" w:hAnsi="Segoe UI"/>
    </w:rPr>
  </w:style>
  <w:style w:type="paragraph" w:customStyle="1" w:styleId="Default">
    <w:name w:val="Default"/>
    <w:rsid w:val="00895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5768E-47EC-4675-9B13-029F2BE5B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803BD-AEB5-44C5-920E-E91372E59950}"/>
</file>

<file path=customXml/itemProps3.xml><?xml version="1.0" encoding="utf-8"?>
<ds:datastoreItem xmlns:ds="http://schemas.openxmlformats.org/officeDocument/2006/customXml" ds:itemID="{F018BA6F-2772-4BC9-9372-4E8463B510A4}"/>
</file>

<file path=customXml/itemProps4.xml><?xml version="1.0" encoding="utf-8"?>
<ds:datastoreItem xmlns:ds="http://schemas.openxmlformats.org/officeDocument/2006/customXml" ds:itemID="{FD41206B-DF31-4CED-B9E2-AD74FA0D1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Escalante</dc:creator>
  <cp:keywords/>
  <dc:description/>
  <cp:lastModifiedBy>Boston, Stephen</cp:lastModifiedBy>
  <cp:revision>3</cp:revision>
  <cp:lastPrinted>2022-03-29T18:01:00Z</cp:lastPrinted>
  <dcterms:created xsi:type="dcterms:W3CDTF">2022-03-25T19:46:00Z</dcterms:created>
  <dcterms:modified xsi:type="dcterms:W3CDTF">2022-03-29T21:30:00Z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0x01010086731C237DB9C246863BF3BBF0E94661</vt:lpwstr>
  </property>
  <property fmtid="{D5CDD505-2E9C-101B-9397-08002B2CF9AE}" pid="3" name="Order">
    <vt:r8>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